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GE.2006.0007 vom 22. September 2006</w:t>
      </w:r>
    </w:p>
    <w:p>
      <w:r>
        <w:t>VD Tribunal cantonal, 2006-09-22, FR</w:t>
      </w:r>
    </w:p>
    <w:p>
      <w:r>
        <w:rPr>
          <w:b/>
        </w:rPr>
        <w:t xml:space="preserve">Quelle: </w:t>
      </w:r>
      <w:r>
        <w:t>https://mcp.opencaselaw.ch/entscheid/vd_omni_GE.2006.0007</w:t>
      </w:r>
    </w:p>
    <w:p>
      <w:r>
        <w:t>FR: VD_OMNI GE.2006.0007 du 22 septembre 2006</w:t>
      </w:r>
    </w:p>
    <w:p>
      <w:r>
        <w:t>IT: VD_OMNI GE.2006.0007 del 22 settembre 2006</w:t>
      </w:r>
    </w:p>
    <w:p>
      <w:pPr>
        <w:pStyle w:val="Heading2"/>
      </w:pPr>
      <w:r>
        <w:t>Regeste</w:t>
      </w:r>
    </w:p>
    <w:p>
      <w:r>
        <w:t>X. /POLICE CANTONALE VAUDOISE | Vu les effets de la cocaïne, il y a lieu de craindre de celui qui en consomme qu'il utilise les armes en sa possession d'une manière dangereuse pour lui-même ou pour autrui. Par conséquent, lorsque - comme en l'espèce - le risque que le recourant n'ait pas cessé ou ait repris sa consommation est important, cette circonstance justifie à elle seule la révocation des permis d'acquisition d'armes délivrés, ainsi que le séquestre suivi de la vente des armes en cause. Par surabondance en l'espèce, le comportement agressif du recourant justifie également les mesures litigieuses en dépit d'un non-lieu.</w:t>
      </w:r>
    </w:p>
    <w:p>
      <w:pPr>
        <w:pStyle w:val="Heading2"/>
      </w:pPr>
      <w:r>
        <w:t>Erwägungen</w:t>
      </w:r>
    </w:p>
    <w:p>
      <w:r>
        <w:rPr>
          <w:b/>
        </w:rPr>
        <w:t>E. 1</w:t>
      </w:r>
    </w:p>
    <w:p>
      <w:r>
        <w:t>a) La loi fédérale du 20 juin 1997 sur les armes, les accessoires d'armes et les munitions (LArm; RS 514.54) a été adoptée sur la base du mandat de l'art. 107 al. 1 er de la  Constitution fédérale (Cst). Elle a pour but de lutter contre l'usage abusif d'armes, respectivement de protéger l'ordre public et la sécurité des personnes et des biens par un contrôle accru de l'achat et du port d'armes individuelles (Message du Conseil fédéral in FF 1996 I p. 1001 ss; Aubert/Mahon, Commentaire de la Constitution fédérale de la Confédération suisse, n. 5 ad art. 107 Cst). L'art. 3 de la loi vaudoise du 5 septembre 2000 sur les armes, les accessoires d'armes, les munitions et les substances explosibles (LVLArm; RSV 502.11) prévoit que le Département de la sécurité et de l'environnement est chargé de l'application du droit fédéral en matière d'armes, d'accessoires d'armes, de munitions et de substances explosibles (al. 1) et qu'il exerce ses tâches par l'intermédiaire de la Police cantonale (al. 2). b) L'art. 8 LArm énonce ce qui suit: "1. Toute personne qui acquiert une arme ou un élément essentiel d'arme auprès d’un commerçant doit être titulaire d’un permis d’acquisition d’armes.</w:t>
      </w:r>
    </w:p>
    <w:p>
      <w:r>
        <w:rPr>
          <w:b/>
        </w:rPr>
        <w:t>E. 2</w:t>
      </w:r>
    </w:p>
    <w:p>
      <w:r>
        <w:t>Aucun permis d’acquisition d’armes n’est délivré aux personnes: a.   qui n’ont pas 18 ans révolus; b.   qui sont interdites; c.   dont il y a lieu de craindre qu’elles utilisent l’arme d’une manière dangereuse pour elles-mêmes ou pour autrui; d.   qui sont enregistrées au casier judiciaire pour un acte dénotant un caractère violent ou dangereux ou pour la commission répétée de crimes ou de délits, tant que l’inscription n’est pas radiée.</w:t>
      </w:r>
    </w:p>
    <w:p>
      <w:r>
        <w:rPr>
          <w:b/>
        </w:rPr>
        <w:t>E. 3</w:t>
      </w:r>
    </w:p>
    <w:p>
      <w:r>
        <w:t>Il résulte des considérants qui précèdent que le recours doit être rejeté et la décision de l'autorité intimée confirmée. Vu l'issue du pourvoi, un émolument est mis à la charge du recourant qui n'a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