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GE.2005.0112 vom 12. Oktober 2006</w:t>
      </w:r>
    </w:p>
    <w:p>
      <w:r>
        <w:t>VD Tribunal cantonal, 2006-10-12, FR</w:t>
      </w:r>
    </w:p>
    <w:p>
      <w:r>
        <w:rPr>
          <w:b/>
        </w:rPr>
        <w:t xml:space="preserve">Quelle: </w:t>
      </w:r>
      <w:r>
        <w:t>https://mcp.opencaselaw.ch/entscheid/vd_omni_GE.2005.0112</w:t>
      </w:r>
    </w:p>
    <w:p>
      <w:r>
        <w:t>FR: VD_OMNI GE.2005.0112 du 12 octobre 2006</w:t>
      </w:r>
    </w:p>
    <w:p>
      <w:r>
        <w:t>IT: VD_OMNI GE.2005.0112 del 12 ottobre 2006</w:t>
      </w:r>
    </w:p>
    <w:p>
      <w:pPr>
        <w:pStyle w:val="Heading2"/>
      </w:pPr>
      <w:r>
        <w:t>Regeste</w:t>
      </w:r>
    </w:p>
    <w:p>
      <w:r>
        <w:t>X. /Municipalité de Nyon | Ne respecte pas le principe de la liberté économique et de l'égalité de traitement entre concurrents, le système de répartition des autorisations de type A qui empêche tout nouveau chauffeur de taxis d'obtenir, dans un délai raisonnable, une autorisation de cette catégorie. Confirmation de la jurisprudence du TA et du TF. La municipalité doit mettre rapidement sur pied un système permettant de respecter ces principes.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A._______ correspondait à une telle étude (arrêt GE.2005.0003 déjà cité).</w:t>
      </w:r>
    </w:p>
    <w:p>
      <w:r>
        <w:rPr>
          <w:b/>
        </w:rPr>
        <w:t>E. 5</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A._______. Le recourant allègue pour sa part que le système actuel est injuste puisqu’il contribue à laisser la plupart des autorisations en mains d’un même exploitant de services de taxis, voire deux, ce qui constitue un monopole inadmissible. b) Il convient d'admettre que le rapport A._______ correspond à une étude approfondie sur le service des taxis de la ville de 1._______.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A._______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A._______ a d'ailleurs confirmé, en date du 26 avril 2006, la validité des analyses et conclusions de son rapport, d'une part, et que l'offre du service de taxis et la demande de la clientèle n'avaient pas été modifiés dans des proportions significatives depuis 2003, d'autre part.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D._______ SA qui en détenait onze afin de les redistribuer à des concurrents, mais cette décision a été jugée contraire au principe de la liberté économique (arrêt TA GE.2005.0003 déjà cité) et le recours de droit public interjeté devant le Tribunal fédéral a été rejeté en date du 29 août 2006.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c)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de la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6</w:t>
      </w:r>
    </w:p>
    <w:p>
      <w:r>
        <w:t>Au vu des considérants qui précèdent, le recours doit être admis et la décision attaquée annulée. Vu l’issue du pourvoi, les frais du présent arrêt seront mis à la charge de l’autorité intimée (art. 55 al. 2 LJPA).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