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GE.2005.0069 vom 30. November 2005</w:t>
      </w:r>
    </w:p>
    <w:p>
      <w:r>
        <w:t>VD Tribunal cantonal, 2005-11-30, FR</w:t>
      </w:r>
    </w:p>
    <w:p>
      <w:r>
        <w:rPr>
          <w:b/>
        </w:rPr>
        <w:t xml:space="preserve">Quelle: </w:t>
      </w:r>
      <w:r>
        <w:t>https://mcp.opencaselaw.ch/entscheid/vd_omni_GE.2005.0069</w:t>
      </w:r>
    </w:p>
    <w:p>
      <w:r>
        <w:t>FR: VD_OMNI GE.2005.0069 du 30 novembre 2005</w:t>
      </w:r>
    </w:p>
    <w:p>
      <w:r>
        <w:t>IT: VD_OMNI GE.2005.0069 del 30 novembre 2005</w:t>
      </w:r>
    </w:p>
    <w:p>
      <w:pPr>
        <w:pStyle w:val="Heading2"/>
      </w:pPr>
      <w:r>
        <w:t>Regeste</w:t>
      </w:r>
    </w:p>
    <w:p>
      <w:r>
        <w:t>Y.X.A._______, X.B._______/Direction de l'Etat-civil, X.C._______ | La séparation des époux après une durée de 11 mois environ (au lieu des 12 mois exigés par l'art. 264 CC) de vie avec l'enfant ne rend pas automatiquement l'adoption conjointe impossible. Il convient d'examiner si le lien nourricier a perduré pendant au moins 12 mois avec chaque parent. En l'espèce, adoption conjointe autorisée : lien nourricier avec les 2 parents établi, adoption conforme au bien de l'enfant, pas de préjudice pour l'enfant de la mère adoptive.</w:t>
      </w:r>
    </w:p>
    <w:p>
      <w:pPr>
        <w:pStyle w:val="Heading2"/>
      </w:pPr>
      <w:r>
        <w:t>Erwägungen</w:t>
      </w:r>
    </w:p>
    <w:p>
      <w:r>
        <w:rPr>
          <w:b/>
        </w:rPr>
        <w:t>E. 1</w:t>
      </w:r>
    </w:p>
    <w:p>
      <w:r>
        <w:t>Déposé dans les formes et les délais prescrits par la loi sur la juridiction et la procédure administrative du 18 décembre 1989 (LJPA), le recours est recevable. La compétence du Département des institutions et des relations extérieures de prononcer l'adoption tel que le prévoit l'article 268 du Code civil (CC) repose entre outre sur l'article 12 chiffre 4 de la loi d'introduction dans le Canton de Vaud du Code civil suisse.</w:t>
      </w:r>
    </w:p>
    <w:p>
      <w:r>
        <w:rPr>
          <w:b/>
        </w:rPr>
        <w:t>E. 2</w:t>
      </w:r>
    </w:p>
    <w:p>
      <w:r>
        <w:t>ème édition 2002 n° 15 ad art. 264 p. 1389). Selon Peter Breitschmid (Basler Kommentar, n° 16 ad. art. 164 CC), la doctrine, dans sa majorité, est d’avis qu’une dispense de la durée minimale n’est pas envisageable. L’auteur reconnaît toutefois que cette durée est élevée, en comparaison avec les autres pays. Il opère une distinction entre les enfants en bas âge et les jeunes qui se rapprochent de l’âge de la majorité, pour lesquels la durée minimale est à observer strictement. En l'espèce, D.Z._______ a vécu avec B.X._______ du</w:t>
      </w:r>
    </w:p>
    <w:p>
      <w:r>
        <w:rPr>
          <w:b/>
        </w:rPr>
        <w:t>E. 4</w:t>
      </w:r>
    </w:p>
    <w:p>
      <w:r>
        <w:t>Il convient encore d'examiner si une adoption conjointe peut porter préjudice à G.X._______ né le 19 février 2004. Par rapport à A.Y.X._______, D.Z._______ et G.J.X._______ sont cousins et de par l'adoption, ils seront frères. Au vu de l'âge de G._______, du fait qu'il a toujours vécu avec D._______, que A.Y.X._______ considère ces deux enfants comme les siens et que l'assistante sociale du Service de protection de la jeunesse ne voit aucun inconvénient à l'adoption par rapport à G._______, force est d'admettre que l'adoption de D._______ par les recourants ne portera pas d'atteinte inéquitable aux intérêts de G._______.</w:t>
      </w:r>
    </w:p>
    <w:p>
      <w:r>
        <w:rPr>
          <w:b/>
        </w:rPr>
        <w:t>E. 5</w:t>
      </w:r>
    </w:p>
    <w:p>
      <w:r>
        <w:t>Compte tenu de ce qui précède, le recours doit être admis et la décision entreprise annulée. La cause sera renvoyée à l'autorité intimée pour nouvelle décision dans le sens des considérants. Assistés par un mandataire professionnel, les recourants ont droit à des dépens. En outre, les frais de justice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