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GE.2005.0033 vom 8. August 2005</w:t>
      </w:r>
    </w:p>
    <w:p>
      <w:r>
        <w:t>VD Tribunal cantonal, 2005-08-08, FR</w:t>
      </w:r>
    </w:p>
    <w:p>
      <w:r>
        <w:rPr>
          <w:b/>
        </w:rPr>
        <w:t xml:space="preserve">Quelle: </w:t>
      </w:r>
      <w:r>
        <w:t>https://mcp.opencaselaw.ch/entscheid/vd_omni_GE.2005.0033</w:t>
      </w:r>
    </w:p>
    <w:p>
      <w:r>
        <w:t>FR: VD_OMNI GE.2005.0033 du 8 août 2005</w:t>
      </w:r>
    </w:p>
    <w:p>
      <w:r>
        <w:t>IT: VD_OMNI GE.2005.0033 del 8 agosto 2005</w:t>
      </w:r>
    </w:p>
    <w:p>
      <w:pPr>
        <w:pStyle w:val="Heading2"/>
      </w:pPr>
      <w:r>
        <w:t>Regeste</w:t>
      </w:r>
    </w:p>
    <w:p>
      <w:r>
        <w:t>X./Département de la formation et de la jeunesse, Université de Lausanne | N'est pas conforme notamment à la procédure prévue par le règlement de la faculté des sciences du 30 janvier 2002 pour l'obtention des grades de docteur ès sciences et docteur ès sciences pharmaceutiques le fait pour le doyen et président d'un jury appelé à juger la seconde version d'un mémoire de doctorat de requérir l'avis d'experts extérieurs au jury pour prendre sa décision. Cette manière de faire viole également l'art. 13 dudit règlement puisqu'en définitive c'est sept personnes, au lieu des six maximum prévus dans le règlement, qui se sont exprimées sur le mémoire corrigé de la recourante. Enfin, dans la mesure où la décision attaquée a été rendue par un jury dont l'opinion d'une partie de ses membres a été manifestement influencée par des éléments étrangers, elle relève d'un abus du pouvoir d'appréciation et doit également être annulée pour ce motif. Admission du recours en invitant la faculté à remplacer les membres du jury, à l'exception du directeur de thèse, ces derniers n'étant à l'évidence plus en mesure de se prononcer en toute objectivité.</w:t>
      </w:r>
    </w:p>
    <w:p>
      <w:pPr>
        <w:pStyle w:val="Heading2"/>
      </w:pPr>
      <w:r>
        <w:t>Erwägungen</w:t>
      </w:r>
    </w:p>
    <w:p>
      <w:r>
        <w:rPr>
          <w:b/>
        </w:rPr>
        <w:t>E. 1</w:t>
      </w:r>
    </w:p>
    <w:p>
      <w:r>
        <w:t>L'art. 4 al. 1 de la loi du 18 décembre 1989 sur la juridiction et la procédure administratives (LJPA) prévoit que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département rendues en matière d’échec définitif aux examens de doctorat.</w:t>
      </w:r>
    </w:p>
    <w:p>
      <w:r>
        <w:rPr>
          <w:b/>
        </w:rPr>
        <w:t>E. 2</w:t>
      </w:r>
    </w:p>
    <w:p>
      <w:r>
        <w:t>Déposé en temps utile par la destinataire de la décision entreprise, le recours, conforme aux conditions de l'art. 31 LJPA, est recevable en la forme. a)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(sur tous ces points, cf. ATF 110 V 365 cons. 3b in fine; 108 Ib 205 cons. 4a). b) Comme le tribunal de céans a déjà eu l'occasion de le juger à plusieurs reprises, dans le contexte très particulier du contrôle judiciaire du résultat d'un examen, il doit faire preuve d'une extrême retenue. Déterminer la capacité d'une personne à obtenir un grade - universitaire ou autre - ou à exercer une profession suppose des connaissances techniques, propres aux matières examinées. En tout état de cause, le tribunal s'abstient d'analyser les questions posées aux candidats et l'appréciation par les experts des réponses données (Arrêts TA GE.1993.0089 du 20 avril 1994, GE.1997.0051 du 31 octobre 1997, GE.1998.116 du 12 avril 1999, GE.1998.170 du 2 novembre 1999 et GE.1999.0155 du 5 avril 2000). Cette jurisprudence ne s'écarte pas des principes définis par d'autres instances judiciaires. C'est ainsi que "le jury qui fait passer les examens universitaires dispose d'une certaine marge d'appréciation pour évaluer la prestation d'un candidat. La note qu'il attribue dépend de circonstances qu'il est le mieux à même d'apprécier." (RDAF 1997, tome I, p. 42). Le contrôle judiciaire doit dès lors se limiter à vérifier que le jury n'a pas excédé ou abusé de son pouvoir d'appréciation, soit à s'assurer qu'il ne s'est pas basé sur des considérations hors de propos ou de toute autre façon manifestement insoutenables (ATF 121 I 230; ATF 118 Ia 495; ATF 105 Ia 191). En d'autres termes, le choix et la formulation des questions, le déroulement de l'examen et surtout l'appréciation des connaissances scientifiques d'un étudiant relèvent avant tout du jury, particulièrement lorsqu'il s'agit d'une épreuve orale. En revanche, l'autorité judiciaire examine librement la régularité de la procédure et le respect des garanties tirées de l'art. 29 de la Constitution fédérale, tels que le droit d'être entendu et les principes de la bonne foi, de la proportionnalité et de l'égalité de traitement (ATF 106 Ia 3).</w:t>
      </w:r>
    </w:p>
    <w:p>
      <w:r>
        <w:rPr>
          <w:b/>
        </w:rPr>
        <w:t>E. 3</w:t>
      </w:r>
    </w:p>
    <w:p>
      <w:r>
        <w:t>En l'espèce, X.________ conclut à l'annulation de la décision du département confirmant son échec définitif. Dans son recours, elle requiert la désignation d’un ou plusieurs nouveaux experts neutres et spécialistes dans son domaine, ainsi que l'audition contradictoire de divers témoins. Aux termes de l'article 44 al. 1 LJPA, la procédure est en principe écrite et ne comporte normalement qu'un échange d'écritures. L'article 49 al. 1 LJPA dispose que, d'office ou sur requête motivée, le magistrat instructeur peut fixer des débats. Comme exposé ci-dessus, le Juge instructeur n'a en l'espèce pas donné suite à cette requête. Les parties se sont en effet livrées à un échange d'écritures complet (recours, mémoire complémentaire et observations finales). De leur côté, l'autorité intimée et l'autorité concernée se sont également déterminées, à deux occasions en ce qui concerne le Rectorat. Cela étant, il apparaît que le Tribunal de céans pouvait se faire une idée très précise de la situation sur la base du seul dossier de la cause, qui est tout à fait complet, si bien qu'il ne s'imposait pas de tenir une audience permettant d'entendre la recourante personnellement et, cas échéant, des témoins. De même, compte tenu de l'issue du pourvoi, il ne se justifiait pas de désigner de nouveaux experts.</w:t>
      </w:r>
    </w:p>
    <w:p>
      <w:r>
        <w:rPr>
          <w:b/>
        </w:rPr>
        <w:t>E. 4</w:t>
      </w:r>
    </w:p>
    <w:p>
      <w:r>
        <w:t>La procédure pour l'obtention du titre de docteur en chimie est défini par le Règlement de la Faculté des sciences du 30 janvier 2002 pour l'obtention des grades de docteur ès sciences et de docteur ès sciences pharmaceutiques, entré en vigueur le 1 er mai 2002 (ci-après : le Règlement). Selon les dispositions suivantes du Règlement, Article 1 Préambule (…) Le grade de docteur ès sciences pharmaceutiques est décerné par l’Université de Lausanne aux titulaires du diplôme fédéral de pharmacien ou d’un diplôme universitaire de pharmacien ayant présenté, dans les conditions du présent règlement, un travail original et personnel (ci-après désigné par « thèse ») prouvant leur aptitude à la recherche scientifique. Article 10 Examen de thèse L’examen de thèse comprend deux parties : la séance d’épreuve et la soutenance publique. Article 11 Documents requis Le candidat doit déposer les documents suivants au Décanat de la Faculté des sciences, au minimum cinq semaines avant la séance d’épreuve : a) Une lettre signée par le Directeur de thèse indiquant une proposition de composition du jury (nom, prénom, adresse complète y compris Email ou fax) conforme aux prescriptions de l’Article 13, ainsi que le lieu et deux ou trois dates possibles pour la séance d’épreuve. b) Un exemplaire du mémoire. Le candidat est par ailleurs responsable d’envoyer un exemplaire à chaque membre du jury. c) (…). d) (…). e) (…). f) (…). Article 13 Jury de thèse Le candidat ayant déposé son mémoire, le Doyen constitue le jury de thèse. Celui-ci comprend un Président (le Doyen ou son représentant), le Directeur de thèse, le Rapporteur (si le Conseil de faculté en a nommé un) et au minimum deux experts, dont l'un au moins est choisi à l'extérieur de l'Université de Lausanne. Le jury peut comprendre au maximum six personnes (Directeur, Président et Rapporteur, s'il existe, compris). Le Doyen peut faire appel aux vice-doyens, aux anciens doyens et vice-doyens, ainsi qu'à d'autres collègues professeurs pour présider la séance d'épreuve et la soutenance publique. Une telle liste exhaustive est établie par le Décanat. Le Rapporteur peut éventuellement être désigné comme Président du jury ou comme expert mais il ne peut pas assumer simultanément ces deux fonctions. Article 14 Rapports Les membres du jury reçoivent une copie du mémoire de thèse ; ils ont accès aux rapports annuels et aux documents de travail du candidat ; ils peuvent exiger un entretien avec ce dernier. A l’exception du Président, les membres du jury établissent un rapport dans lequel ils donnent leur opinion sur le travail présenté et l’adressent au Président du jury au minimum une semaine avant la séance d’épreuve. Si le Rapporteur préside le jury, il doit transmettre un rapport formel conformément à l’Article 6. Article 15 Séance d'épreuve Après réception des rapports, le Doyen organise une séance d'épreuve au cours de laquelle le candidat présente son mémoire et répond aux questions des membres du jury sur son travail. Cette séance ne peut avoir lieu que du 1 er septembre aux vacances de Noël et de la reprise des cours en janvier au dernier jour des examens de la session d'été, à l'exclusion des jours fériés. Après délibération, le jury décide si le travail est recevable comme thèse. Le jury peut déclarer le travail recevable sous réserve de modifications; ces dernières devront être apportées dans un délai de deux mois au maximum. En cas de refus du mémoire, le candidat peut présenter une seconde version de son travail. Lors de cette séance, le jury doit attribuer trois notes, l'une pour la valeur scientifique du travail de thèse, l'autre pour le mémoire et la troisième pour la séance d'épreuve. Ces notes ne sont pas communiquées au candidat. Un procès-verbal est établi. Si l'une des notes est insuffisante, le travail n'est pas recevable en l'état comme thèse. Le jury doit informer le candidat des conditions qu'il lui impose et fixer un délai pour les remplir. Chaque membre adresse un nouveau rapport au Doyen dans lequel il se prononce, entre autres, sur la nécessité de réorganiser une séance d'épreuve. Un second échec est définitif mais n'exclut pas le doctorant de la Faculté.</w:t>
      </w:r>
    </w:p>
    <w:p>
      <w:r>
        <w:rPr>
          <w:b/>
        </w:rPr>
        <w:t>E. 5</w:t>
      </w:r>
    </w:p>
    <w:p>
      <w:r>
        <w:t>Dans le cas présent, la procédure décrite ci-dessus n’a pas été suivie correctement par la Faculté, et cela à plusieurs stades de son déroulement. a) On relèvera préalablement que, contrairement à ce que soutient la recourante, la séance d’épreuve du 30 juin 2003 s’est bien soldée par un échec. La correspondance adressée à l’intéressée le 2 juillet 2003 par le doyen de la Faculté des sciences ne laisse planer aucun doute à cet égard. Dans ce courrier, il est expressément indiqué que le jury avait estimé que le mémoire de thèse n’était pas recevable en l’état comme thèse de doctorat et que, conformément à l’art. 15 du Règlement, l’examen était tenu pour échoué. Un délai, échéant le 31 décembre 2003, a dès lors été imparti à X.________ pour modifier (dans le fond et dans la forme) son manuscrit (art. 15 al. 5 du Règlement). La procédure suivie jusqu’à ce stade est pleinement conforme au Règlement et ne peut faire l’objet d’aucune critique. b) Il en va différemment en ce qui concerne la suite de la procédure. L’intéressée a déposé son mémoire corrigé en date du 23 décembre 2003, soit dans le délai imparti et les membres du jury ont établi, en application de l’art. 15 al. 5 3 ème phrase du Règlement, un nouveau rapport. Il convient de préciser ici que l’autorité intimée se trompe lorsqu’elle allègue dans sa réponse que trois des quatre experts se seraient prononcés négativement sur ce manuscrit. Comme exposé dans la partie faits ci-dessus (lettre D), les avis étaient en réalité équitablement partagés, dans la mesure où deux membres du jury, soit les professeurs Testa et Labidalle (respectivement directeur de thèse et expert externe) étaient – dans les conclusions de leurs rapports qui doivent seules êtres prises en considération - favorables au projet alors que la doctoresse Schenker et le professeur Carrupt (respectivement expert externe et expert interne) y étaient effectivement opposés. Le doyen l’avait d’ailleurs bien compris dans ce sens puisque, dans son courrier du 25 février 2004 à l’intention des deux experts extérieurs, il exposait être « dans la situation délicate de devoir trancher entre deux acceptations et deux refus ». S’il est vrai que le Règlement ne précise pas clairement la marche à suivre dans une telle situation, le président du jury se devait néanmoins de prendre position personnellement sur la valeur du mémoire. Le Règlement n’exigeant pas des décisions prises à l’unanimité, son avis aurait permis de dégager une majorité, dans un sens ou dans l’autre. Le rôle du président du jury ne se limite pas à organiser le déroulement de la procédure, mais implique en outre une participation active dans les prises de décision. Cette compétence résulte clairement de l’art. 15 al. 2 et 4 du Règlement, lequel attribue au « jury » in corpore, c'est-à-dire y compris son président, la tâche de « décide [ r ] » si le travail est recevable et d’ « attribuer » les notes lors de la séance d’épreuve. On ne voit pas pourquoi ces règles, tout à fait claires pour la séance d’épreuve, ne seraient pas applicables également lorsqu’il s’agit d’apprécier la valeur de la seconde version du mémoire. Le professeur Hénichart, interpellé en qualité d’expert extérieur, avait également conscience que son propre avis ne pouvait jouer un rôle déterminant dans la décision à intervenir, puisqu’il a rappelé, dans sa réponse adressée au doyen le 29 mars 2004, que seul le jury « local » était apte à prendre une décision. De plus, l’intimée se trompe encore quand elle affirme que le recours à des experts extérieurs à la Faculté s’inscrit dans le cadre de la liberté d’appréciation du doyen conférée par le Règlement au moment de fixer la démarche à suivre après le dépôt du mémoire corrigé. Si le Règlement n’interdit pas formellement un recours à un ou des experts extérieurs, il stipule toutefois expressément, à son art. 15 al. 5, que « chaque membre adresse un nouveau rapport au Doyen dans lequel il se prononce, entre autres, sur la nécessité de réorganiser une séance d’épreuve. ». Il n’est dès lors manifestement pas question de permettre au président du jury de chercher à compléter l’instruction, notamment en allant solliciter l’avis d’autres personnes. c) Cela étant, c’est à tort que le doyen a requis l’avis d’experts extérieurs au jury (soit les professeurs Hénichart et Paris). Non seulement cette manière de procéder n’est pas prévue dans le Règlement, mais elle viole encore de manière flagrante l’art. 13 al. 1 dernière phrase dudit règlement. Cette disposition limite à six personnes au maximum le nombre de personnes pouvant composer le jury. Or, avec la désignation des professeurs Hénichart et Paris, c’est bien sept personnes (professeurs Testa, Labidalle, Carrupt et Hernandez, doctoresse Schenker et professeurs Hénichart et Paris)  - et non pas cinq - qui se sont en définitive exprimées sur la seconde version du mémoire de la recourante. Certes, dans son courrier du 22 avril 2004 adressé aux membres du jury, le doyen mentionne qu’après concertation avec les professeurs Testa et Carrupt, « nous sommes » arrivés à la conclusion que le travail ne pouvait être reçu. On ne peut toutefois que s’étonner que seuls le doyen, le directeur de thèse et le professeur Carrupt aient participé à ce qui représentait en réalité une troisième concertation, alors que l’avis de tous les membres du jury aurait dû être à nouveau recueilli (art. 15 al. 5 Règlement). En d’autres termes, le doyen a suivi l’avis négatif des membres du jury et tant le directeur de thèse que le professeur Labidalle ont quant à eux changé d’opinion, puisque selon leurs avis respectifs du 27 janvier 2004 et 4 février 2004, le nouveau mémoire était « de qualité suffisante » et « méritait d’être présenté en vue de l’obtention du Doctorat de la Faculté des Sciences de l’Université de Lausanne ». C’est dire à quel point les conclusions des experts extérieurs ont été déterminantes dans la prise de position définitive de trois des membres du jury. C’est dire aussi – a contrario – que si ces derniers n’avaient pas été consultés, la recourante aurait pu, en cas d’avis favorable du doyen, obtenir un feu vert pour une soutenance publique (art. 16 Règlement). Au surplus, cette manière de procéder ne permettait pas à la recourante de connaître le nom de tous les experts comme cela doit pourtant être le cas au regard de l’art. 11 lettres a et b du Règlement. Selon cette disposition, le candidat est tenu de produire avant la séance d’épreuve une lettre contenant une proposition de composition de jury et d’envoyer à chacun d’entre eux un exemplaire de son mémoire. Ces règles démontrent à l’évidence la volonté de la Faculté d’informer le doctorant, à l’avance, de la composition du jury appelé à juger de la qualité de son travail. Enfin, le droit d’un candidat de connaître, dans ce type d’épreuve, l’identité des personnes appelées à juger la qualité d’un travail académique ne découle pas uniquement du droit fondamental d’être entendu – qui englobe notamment le droit de prendre connaissance du dossier, d’obtenir l’administration des preuves pertinentes et valablement offertes, de participer à l’administration des preuves essentielles et de se déterminer sur son résultat lorsque cela est de nature à influer sur la décision à intervenir (sur cette question cf. ATF 124 I 49 et 241 ; ATF 122 I 109 ; ATF 114 Ia 97 + réf. cit.) - mais également de la nécessité de pouvoir invoquer, cas échéant, des motifs de récusation à l’encontre des experts pressentis. A cet égard, le tribunal ne saurait à nouveau suivre le département lorsque celui-ci soutient que les deux experts extérieurs ne pouvaient être soupçonnés de prévention à l’encontre de X.________. Si celle-ci n’a pas précisé en quoi les éventuelles collaborations professionnelles antérieures entre lesdits experts et les membres du jury seraient susceptibles de donner aux professeurs Hénichard et Paris l’apparence d’une prévention à son encontre, il n’en reste pas moins qu’au moment de leur désignation en février 2004, la recourante ignorait tout de leur future intervention et que, sur le principe, on ne pouvait exclure à ce moment-là l’existence d’un éventuel motif de récusation. d) Dans ces conditions, en organisant une forme de procédure « ad hoc » contraire au Règlement, le jury a violé ce dernier. Aucune adaptation du Règlement ne pouvant être tolérée, la décision du 5 mai 2004 aurait dû être purement et simplement annulée par le département et le dossier retourné à la Faculté pour nouvelle décision respectant les exigences du Règlement.</w:t>
      </w:r>
    </w:p>
    <w:p>
      <w:r>
        <w:rPr>
          <w:b/>
        </w:rPr>
        <w:t>E. 6</w:t>
      </w:r>
    </w:p>
    <w:p>
      <w:r>
        <w:t>La recourante allègue encore que la décision litigieuse est, dans son contenu, insoutenable et injustifiable, c'est-à-dire entachée d’arbitraire. Elle estime que les experts, internes, externes ou encore extérieurs (professeurs Hénichart et Paris) ont évalué de façon arbitraire et sans l’indépendance nécessaire la qualité de son mémoire et, à tout le moins, qu’on ne saurait affirmer qu’aucun doute ne subsiste à cet égard. Comme rappelé ci-dessus (chiffre 3 b), en matière de contrôle de l’appréciation d’examens, l’autorité de recours doit s’imposer une très grande retenue, même si cette limitation du pouvoir d’examen est moins stricte en matière d’épreuves écrites que d’épreuves orales (RDAF 1983 I 279). Cependant, dans la mesure où la décision entreprise a en l’occurrence été rendue par un jury dont l’opinion d’une partie de ses membres a manifestement été influencée par des éléments étrangers (soit l’appréciation des deux experts extérieurs), elle relève d’un abus du pouvoir d’appréciation et doit également être annulée pour cette raison. Le dossier sera dès lors retourné à la Faculté, à charge pour celle-ci de désigner un nouveau jury pour évaluer le manuscrit corrigé de la recourante. On relèvera à cet égard que, mis à part peut-être le directeur de thèse dont on voit mal à première vue comment il pourrait ne pas faire partie de ce nouveau jury, les autres membres de celui-ci devront tous être remplacés compte tenu du fait qu’ils ne sont à l’évidence plus en mesure de se prononcer en toute objectivité.</w:t>
      </w:r>
    </w:p>
    <w:p>
      <w:r>
        <w:rPr>
          <w:b/>
        </w:rPr>
        <w:t>E. 7</w:t>
      </w:r>
    </w:p>
    <w:p>
      <w:r>
        <w:t>Au vu des considérants qui précèdent, le recours doit être admis et la décision attaquée annulée. Le dossier de l’intéressée sera renvoyé à la Faculté pour nouvelle décision. Vu l’issue du pourvoi, les frais du présent arrêt seront laissés à la charge de l’Etat (art. 55 al. 1 LJPA). Obtenant entièrement gain de cause et ayant procédé par l’intermédiaire d’un mandataire professionnel et au bénéfice de l’assistance judiciaire (cf. décision du 5 avril 2005), X.________ a droit à de pleins dépens (art. 40 al. 3 et 55 al. 1 LJPA ; art. 17 al. 2 et 20 al. 1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