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GE.2004.0190 vom 13. Juni 2006</w:t>
      </w:r>
    </w:p>
    <w:p>
      <w:r>
        <w:t>VD Tribunal cantonal, 2006-06-13, FR</w:t>
      </w:r>
    </w:p>
    <w:p>
      <w:r>
        <w:rPr>
          <w:b/>
        </w:rPr>
        <w:t xml:space="preserve">Quelle: </w:t>
      </w:r>
      <w:r>
        <w:t>https://mcp.opencaselaw.ch/entscheid/vd_omni_GE.2004.0190</w:t>
      </w:r>
    </w:p>
    <w:p>
      <w:r>
        <w:t>FR: VD_OMNI GE.2004.0190 du 13 juin 2006</w:t>
      </w:r>
    </w:p>
    <w:p>
      <w:r>
        <w:t>IT: VD_OMNI GE.2004.0190 del 13 giugno 2006</w:t>
      </w:r>
    </w:p>
    <w:p>
      <w:pPr>
        <w:pStyle w:val="Heading2"/>
      </w:pPr>
      <w:r>
        <w:t>Regeste</w:t>
      </w:r>
    </w:p>
    <w:p>
      <w:r>
        <w:t>X._______________/Y.________________, Département des infrastructures | Une offre résultant d'une violation de devoir de fidélité de l'employé à l'égard de son employeur ou d'un acte de concurrence déloyale ne peut être exclue, dès lors que la faute du soumissionnaire n'a pas été reconnue par une décision judiciaire. La décision d'adjudication ne viole par conséquent pas le principe d'égalité entre soumissionnaires.</w:t>
      </w:r>
    </w:p>
    <w:p>
      <w:pPr>
        <w:pStyle w:val="Heading2"/>
      </w:pPr>
      <w:r>
        <w:t>Erwägungen</w:t>
      </w:r>
    </w:p>
    <w:p>
      <w:r>
        <w:rPr>
          <w:b/>
        </w:rPr>
        <w:t>E. 1</w:t>
      </w:r>
    </w:p>
    <w:p>
      <w:r>
        <w:t>Le débat a exclusivement trait au prix, qui, seul, départage les concurrents ici en lice. Y._______________ a offert un prix plus avantageux que X.__________________ et son offre, de ce fait, s’est vue gratifiée d’une meilleure note, ce qui au final a fait la différence en sa faveur. Or, X.__________________ reproche en substance à l’autorité intimée d’avoir adjugé le marché à Y._______________, ce lors même que l’associé-gérant de cette dernière, Z.__________________, était encore son employé lors de la soumission et aurait pu prendre connaissance du contenu de celle-ci avant de présenter à son tour son offre et d’adapter son prix en conséquence. Elle se plaint dès lors de ce que les conditions de la concurrence ont été faussées, ce que contestent en revanche tant l’autorité intimée que l’adjudicataire. a) Aux termes de l'art. 37 al. 1, première phrase, du Règlement d'application du 7 juillet 2004 de la loi vaudoise sur les marchés publics (ci-après : RVMP), le marché est adjugé au soumissionnaire ayant présenté l'offre économiquement la plus avantageuse. L'adjudicateur appelé à procéder à la pondération de tous les éléments permettant d'évaluer la relation « qualité-prix » , peut se référer à la liste des critères d'adjudication figurant dans les documents d'appels d'offres pour moduler l'importance du prix offert. A cet égard, la méthode de notation du prix ne peut pas être utilisée pour prétériter les offres particulièrement basses ; en effet, l’offre la meilleure marché doit toujours être mieux notée, s’agissant de ce critère, que les autres offres puisque l’un des buts essentiels des marchés publics est de réaliser des économies (v. Denis Esseiva, in DC 2005/2, p. 74, note ad S13). La notion d'offre la plus avantageuse économiquement demeure cependant une notion juridique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(v. ATF 125 II 86 et ss, 101 et références citées). b) Sur le plan matériel, l'adjudicateur dispose cependant d'une grande liberté d'appréciation dans ses décisions, laquelle se traduit non seulement dans la phase finale de l'adjudication mais dans toutes les phases de la procédure (v. sur ce point la jurisprudence du Tribunal administratif, arrêts GE 2001.0076 du 29 octobre 2001; GE 1999.0135 du 26 janvier 2000). Dans ce cadre, l'autorité judiciaire doit faire preuve d'une certaine retenue et laisser au pouvoir adjudicateur une latitude de jugement d'autant plus étendue que le domaine d'application de la norme exige des connaissances techniques (v. arrêts GE 2000.0039 du 5 juillet 2000; 1999.0142 du 20 mars 2000, réf. citée, notamment RDAF 1999 I 37, cons. 3a). Ce pouvoir n'est limité que par l'interdiction de l'arbitraire; c'est seulement s'il est confronté à un abus ou à un excès de ce pouvoir d'appréciation, partant à une violation grossière du texte de loi et de sa réglementation d'application, que le tribunal devra intervenir.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(v. sur ce point GE 2000.0039 et 1999.0135, déjà cités). c) Au surplus, il appartient à l'adjudicateur de configurer le marché mis en soumission comme il l'entend et en fonction de ses besoins.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(v. outre arrêt GE 2000.0039, déjà cité, arrêts GE 1999.0142 du 20 mars 2000 et 1999.0135 du 26 janvier 2000, références citées; contra JAAC 61.32, 56.16, 50.45).</w:t>
      </w:r>
    </w:p>
    <w:p>
      <w:r>
        <w:rPr>
          <w:b/>
        </w:rPr>
        <w:t>E. 2</w:t>
      </w:r>
    </w:p>
    <w:p>
      <w:r>
        <w:t>La seule problématique soulevée par la recourante à l’encontre de la décision attaquée est celle de l’égalité entre soumissionnaires. On peut en effet se demander si, sur le plan de l’égalité, une offre qui serait la résultante d’une violation du devoir de fidélité, consacré par l’art. 321a al. 1 CO (v. notamment sur ce point Favre/Munoz/Tobler, Le contrat de travail annoté, Lausanne 2001, ad 321a al. 1 CO, note 3.4, réf. citées), voire d’un acte de concurrence déloyale au sens des articles 5 litt. a et 6 LCD, ne devrait pas être exclue, ce conformément à l’art. 32 litt. h RVMP. A teneur de cette disposition en effet, une offre peut être exclue notamment lorsque le soumissionnaire «(…)a été reconnu coupable d'une faute professionnelle par une décision judiciaire» . Cette disposition présuppose cependant deux conditions cumulatives préalables qui, en l’occurrence, ne sont pas réunies. a) L’existence d’une faute professionnelle doit être établie ; or, elle est fermement niée dans le cas d’espèce. Comme on l’a vu ci-dessus, pourrait être à la fois constitutif d’une violation du devoir de fidélité et de concurrence déloyale le fait pour l’employé d’utiliser les données de son employeur pour son propre compte et en vue de l’activité ultérieure ; peu importe à cet égard que Z.__________________ ait auparavant reçu son congé. L’offre de la recourante est datée du 23 novembre 2004 - et non du 3 décembre 2004 comme l’indique l’autorité intimée dans sa réponse -; elle a été reçue le 30 du même mois au secrétariat général du DINF. Il n’est a priori pas du tout exclu que Z.__________________, dont les rapports de travail ont pris fin le 30 novembre 2004, ait pu, de façon fortuite ou volontaire, en prendre connaissance avant de rédiger l’offre de Y._______________, datée du 3 décembre 2004. On en veut un indice dans l’indication contenue en préambule de l’offre de X.__________________ selon laquelle Z.__________________ ne désirait pas être retenu pour cette offre. Il reste que cet allégué, fermement contesté par l’adjudicataire, n’est nullement démontré. b) Quoi qu’il en soit, ce point peut de toute façon demeurer indécis, dès lors qu’aucune décision judiciaire n’est venue, in casu, sanctionner l’existence d’une faute professionnelle. La recourante n’a nullement saisi la juridiction civile compétente afin de sauvegarder ses droits et d’obtenir des dommages-intérêts suite à la violation par Z.__________________ de son devoir de diligence. En outre, elle s’est gardée de saisir le juge civil pour faire constater la concurrence déloyale dont elle se prétend aujourd’hui la victime de la part de Z.__________________, pas davantage qu’elle n’a saisi le juge d’instruction d’une plainte pénale pour une éventuelle infraction à la LCD. Faute de décision préalable de la juridiction compétente, il n’appartient pas au Tribunal administratif de se substituer à celle-ci et de constater la faute dont se plaint la recourante pour conclure ensuite que l’offre de l’adjudicataire aurait du être exclue. c) Deux questions doivent encore être réservées. La recourante n’invoque pas ici un cas de sous-enchère, lequel entraîne également l’exclusion à forme de l’art. 32 litt. l RVMP, après avoir recueilli des explications du soumissionnaire concerné, conformément à l’art. 36 RVMP (cf. arrêt GE 2005.0053 du 23 août 2005). Du reste, l’adjudicataire n’était pas ici le moins-disant puisqu’une tierce offre, non retenue, a obtenu la note maximale sur le prix. La recourante paraît soutenir que Z.__________________, qui jusqu’au 30 novembre 2004 effectuait une mission pour elle dans les locaux du DINF, aurait pu à cette occasion prendre connaissance du contenu de son offre et adapter celle de l’adjudicataire en conséquence. La recourante invoque en quelque sorte l’avantage dont aurait bénéficié l’adjudicataire par rapport aux autres soumissionnaires. L’autorité intimée explique cependant que les enveloppes contenant les offres ont été ouvertes le 7 décembre 2004 et rien au dossier ne permet de contredire cette affirmation.</w:t>
      </w:r>
    </w:p>
    <w:p>
      <w:r>
        <w:rPr>
          <w:b/>
        </w:rPr>
        <w:t>E. 3</w:t>
      </w:r>
    </w:p>
    <w:p>
      <w:r>
        <w:t>Au surplus, la procédure suivie dans le cas d’espèce par l’autorité intimée ne paraît souffrir d’aucun grief particulier. L’offre de la recourante a été gratifiée d’une note légèrement moins bonne que celle de l’adjudicataire parce que le prix forfaitaire initialement offert ne couvrait pas l’ensemble des prestations exigées. Il est dès lors admissible de prétériter au niveau de la notation du critère financier l’offre d’un soumissionnaire qui n’a pas offert toutes les prestations attendues (arrêt GE 2003.0095 du 9 décembre 2003).</w:t>
      </w:r>
    </w:p>
    <w:p>
      <w:r>
        <w:rPr>
          <w:b/>
        </w:rPr>
        <w:t>E. 4</w:t>
      </w:r>
    </w:p>
    <w:p>
      <w:r>
        <w:t>Les considérants qui précèdent conduisent ainsi le tribunal à rejeter le recours et à confirmer la décision attaquée. Au surplus, un émolument d’arrêt de 2'500 francs est mis à la charge de X.__________________,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