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GE.2004.0141 vom 26. September 2005</w:t>
      </w:r>
    </w:p>
    <w:p>
      <w:r>
        <w:t>VD Tribunal cantonal, 2005-09-26, FR</w:t>
      </w:r>
    </w:p>
    <w:p>
      <w:r>
        <w:rPr>
          <w:b/>
        </w:rPr>
        <w:t xml:space="preserve">Quelle: </w:t>
      </w:r>
      <w:r>
        <w:t>https://mcp.opencaselaw.ch/entscheid/vd_omni_GE.2004.0141</w:t>
      </w:r>
    </w:p>
    <w:p>
      <w:r>
        <w:t>FR: VD_OMNI GE.2004.0141 du 26 septembre 2005</w:t>
      </w:r>
    </w:p>
    <w:p>
      <w:r>
        <w:t>IT: VD_OMNI GE.2004.0141 del 26 settembre 2005</w:t>
      </w:r>
    </w:p>
    <w:p>
      <w:pPr>
        <w:pStyle w:val="Heading2"/>
      </w:pPr>
      <w:r>
        <w:t>Regeste</w:t>
      </w:r>
    </w:p>
    <w:p>
      <w:r>
        <w:t>X.________ c /Police cantonale | Saisie d'armes justifiée au sens de l'art. 8 al. 2 let. c LArm lorsque le recourant a déclaré aux policiers qui venaient l'interpeler suite à sa tentative de sabotage du système informatique de son employeur, que sa vie était finie, qu'il a tenté deux fois de se suicider et qu'il consulte un psychiatre. Exigence de se soumettre à une expertise psychiatrique pour évaluer le risque au sens de l'art. 8 al. 2 let. c LArm disproportionnée en l'espèce.</w:t>
      </w:r>
    </w:p>
    <w:p>
      <w:pPr>
        <w:pStyle w:val="Heading2"/>
      </w:pPr>
      <w:r>
        <w:t>Erwägungen</w:t>
      </w:r>
    </w:p>
    <w:p>
      <w:r>
        <w:rPr>
          <w:b/>
        </w:rPr>
        <w:t>E. 1</w:t>
      </w:r>
    </w:p>
    <w:p>
      <w:r>
        <w:t>Conformément à l’art. 4 al. 2 lit. a de la loi vaudoise sur les armes, les accessoires d’armes, les munitions et les substances explosibles du 5 septembre 2000 (RSV 502.11; ci-après : LVLArm), la police cantonale est compétente pour statuer notamment en matière de permis d’acquisition d’armes, d’éléments essentiels d’armes, de munitions et d’éléments de munitions (art. 8 et 12 LArm). Le commandant de la police cantonale peut déléguer tout ou partie de ses compétences à des fonctionnaires désignés à cet effet (art. 5 LVLArm). Selon l’art. 27 de la loi précitée, les décisions prises en application de la présente législation, sous réserve de celles prévues par l’art. 26 (dispositions pénales), peuvent faire l’objet d’un recours conformément à la loi sur la juridiction et la procédure administratives (LJPA).</w:t>
      </w:r>
    </w:p>
    <w:p>
      <w:r>
        <w:rPr>
          <w:b/>
        </w:rPr>
        <w:t>E. 2</w:t>
      </w:r>
    </w:p>
    <w:p>
      <w:r>
        <w:t>D’après l’art. 31 al. 1 LJPA, le recours s’exerce par écrit dans les vingt jours dès la communication de la décision attaquée. En l’espèce, le recours a été interjeté en temps utile et satisfait aux conditions formelles énoncées à l’art. 31 al. 2 et 3 LJPA.</w:t>
      </w:r>
    </w:p>
    <w:p>
      <w:r>
        <w:rPr>
          <w:b/>
        </w:rPr>
        <w:t>E. 3</w:t>
      </w:r>
    </w:p>
    <w:p>
      <w:r>
        <w:t>L'article 29 LJPA a la teneur suivante : "La décision peut faire l'objet d'un recours.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Le recours contre une décision incidente s'exerce conjointement avec le recours contre la décision au fond, à moins que la décision incidente ne porte sur la compétence ou la récusation de l'autorité saisie ou ne soit de nature à causer un préjudice irréparable; dans ces cas, elle peut faire l'objet d'un recours immédiat." Une décision est un acte étatique (Hoheitsakt) concernant un particulier par lequel un rapport juridique concret, relevant du droit administratif est réglé de manière contraignante (ATF 121 II 473 consid. 2; ATF 101 Ia 73). La doctrine met notamment en évidence trois éléments dans la décision : elle est unilatérale, elle a un ou des destinataires déterminés et elle est destinées à produire des effets juridiques (Moor, droit administratif, vol. II p. 156). En outre une décision incidente n'est susceptible de recours immédiat que si la décision au fond est susceptible de recours et si elle est de nature à causer un préjudice irréparable. Le préjudice est irréparable s'il ne peut pas être réparé par une décision finale favorable au recourant (ATF 115 Ia 314 cons. 2c) En l'espèce, quoiqu'en dise l'autorité intimée, sa lettre du 21 septembre 2004 constitue une décision dès lors qu'elle crée des obligations dans un cas particulier en imposant au recourant de se soumettre à une expertise psychiatrique pour trancher sa dangerosité au sens de la loi sur les armes. Le fait que l'autorité intimée invoque une modification de sa pratique n'y change rien. De plus, il s'agit d'une décision incidente dans la mesure où elle constitue une étape dans la procédure vers une décision finale. L'obligation de se soumettre, avant qu'une décision ne soit prise sur le fond, à une expertise psychiatrique, ce qui constitue une restriction à la liberté personnelle, est de nature à causer un préjudice irréparable. En effet, une fois celle-ci exécutée, le vice éventuel ne saurait être réparé. Le recours est en conséquence recevable.</w:t>
      </w:r>
    </w:p>
    <w:p>
      <w:r>
        <w:rPr>
          <w:b/>
        </w:rPr>
        <w:t>E. 4</w:t>
      </w:r>
    </w:p>
    <w:p>
      <w:r>
        <w:t>Faute pour la loi vaudoise sur les armes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de pouvoir d’appréciation (art. 36 lit. a et c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5</w:t>
      </w:r>
    </w:p>
    <w:p>
      <w:r>
        <w:t>Comme exposé ci-dessus, la décision entreprise a été rendue par la police cantonale sur la base de l’art. 4 al. 2 lit. c de la loi vaudoise sur les armes, laquelle régit notamment l’application dans le canton de Vaud de la législation fédérale sur les armes, soit la loi du 20 juin 1997 sur les armes entrée en vigueur le 1 er janvier 1999 (RS 514.54 ; ci-après : LArm). On précisera toutefois d’emblée que depuis cette date, les cantons n’ont plus d’autonomie pour légiférer dans le domaine des armes et ne sont par conséquent plus habilités à édicter des règles de droit autonome ; ils peuvent seulement prendre des dispositions d’exécution qui ne sont pas contraires au droit fédéral ou à son ordonnance d’exécution (arrêt du 29 octobre 2001 du Tribunal fédéral 2P.302/2000 publié in SJ 2002 I 145, consid. 2). Comme le tribunal de céans a déjà eu l’occasion de le rappeler (TA GE.2002.0097 du 7 avril 2003, GE.2002.0051 du 18 octobre 2002) tout être humain a droit, selon l’art. 10 al. 2 de la Constitution fédérale, à la liberté personnelle, notamment l’intégrité physique et psychique, et à la liberté de mouvement. Cette disposition, introduite dans la nouvelle constitution fédérale du 18 décembre 1998, codifie la garantie constitutionnelle de la liberté personnelle, qui avait été reconnue depuis longtemps par le Tribunal fédéral. Selon la formule jurisprudentielle, la liberté personnelle protège la liberté d’aller et de venir, l’intégrité physique, toutes les manifestations élémentaires de la personnalité humaine, ainsi que, de façon générale, le respect de la personnalité (Auer, Malinverni, Hottelier, Droit constitutionnel suisse, vol. 2 p. 134). La jurisprudence a été amenée à établir une statistique détaillée des manifestations élémentaires de la personnalité humaine protégée par la liberté personnelle. Il s’agit de façon générale de toutes les libertés élémentaires dont l’exercice est indispensable à l’épanouissement de la personne humaine (ATF 123 I 112, 118). En fait notamment partie le droit de choisir son mode de vie, d’organiser ses loisirs et d’avoir des contacts avec autrui (ATF 103 Ia 293, 295). La détention d’armes relève d’un choix touchant au mode de vie et aux loisirs. Partant, elle est protégée par la garantie constitutionnelle de la liberté personnelle. Conformément à la maxime inquisitoriale qui prévaut en procédure administrative, l’application de la loi doit se fonder sur la réalité, dans la mesure où celle-ci peut être le plus objectivement établie, et l’intérêt public ne saurait se contenter de fictions. C’est donc l’autorité qui dirige la procédure. Elle définit les faits qu’elle considère comme pertinents et les preuves nécessaires, qu’elle ordonne et apprécie d’office. Lorsque la loi se réfère à des circonstances concrètes précises, elle ne saurait se satisfaire d’une évaluation schématique ou basée sur des appréciations générales : elle est tenue de se fonder sur des faits réels, qu’elle doit rechercher. Ce principe n’est pas absolu. Les parties peuvent collaborer à l’établissement des faits : la garantie du droit d’être entendu leur permet de participer à l’instruction. Elles le doivent dans certaines circonstances : en premier lieu, l’administré qui adresse une demande à l’administration dans son propre intérêt doit la motiver ; il est en effet libre de la présenter, d’y renoncer, c’est lui qui en dispose. En second lieu, le devoir de collaboration incombe à l’administré lorsqu’il s’agit de faits qu’il est mieux à même de connaître, qui ont trait spécifiquement à sa situation personnelle, laquelle s’écarte de l’ordinaire et que l’administration ne peut connaître, ou seulement aux prix de frais excessifs. Enfin, l’obligation peut être posée par une disposition légale – laquelle s’inspirera des mêmes principes (Moor, Droit administratif, vol. II, n° 2.2.6.3 pages 259 à 260). Aux termes de l’art. 8 LArm : «La personne qui acquiert une arme ou un élément essentiel d’une arme auprès d’un commerçant doit être titulaire d’un permis d’acquisition d’armes (al. 1 er ). Aucun permis d’acquisition d’armes n’est délivré aux personnes : a.    qui n’ont pas 18 ans révolus ; b.    qui sont interdites ; c.    dont il y a lieu de craindre qu’elles utilisent l’arme d’une manière dangereuse pour elles-mêmes ou pour autrui ; d.    qui sont enregistrées au casier judiciaire pour un acte dénotant un caractère violent ou dangereux ou pour la commission répétée de crimes ou de délits, tant que l’inscription n’est pas radiée (al. 2)." Conformément à l’art. 31 al. 1 lit. b LArm, l’autorité compétente met sous séquestre les armes, les éléments essentiels d’armes, les accessoires d’armes, les munitions et les éléments de munitions trouvés en possession de personnes qui remplissent l’un des motifs d’exclusion mentionnés à l’art. 8 al. 2. L'art. 8 al. 2 lit c LArm a un rôle préventif de sorte que l’administration peut se baser sur une vraisemblance et non sur une preuve stricte pour retenir que l’hypothèse envisagée à cet article est réalisée (Hans Wüst, Schweizer Waffenrecht 1999 p. 77 et 192; Philippe Weissenberger, die Strafbestimmungen des Waffengesetzes, in PJA 2000 p. 153, spéc. p. 163; ZBl 2/2005 p. 107 arrêt du Conseil d’Etat d’Argovie du 3 septembre 2003). Il appartient à l’autorité d’établir qu’il existe un soupçon que le détenteur d’une arme peut utiliser celle-ci d’une manière dangereuse pour lui-même ou pour autrui. Il peut s’agir notamment d’un soupçon d’une maladie psychique. En l'espèce, lors de son interpellation le 30 avril 2003, le recourant a expliqué que sa vie était finie et qu'il avait tenté de se suicider à deux reprises. Il a également déclaré être suivi par un psychiatre et cité le nom du Dr B.________ qui exerce à Lausanne. Ses dénégations actuelles paraissent ainsi peu crédibles. Au demeurant, on voit mal pour quels motifs la police aurait inventé ces déclarations qui sont à l'évidence destinées à atténuer la faute du recourant dans le cadre de l'enquête pénale. Sa tentative de saboter le système informatique de son employeur révèle également une personnalité troublée. Dans ces circonstances, le séquestre des armes le 30 avril 2003 était pleinement justifié dès lors qu'il y avait lieu pour le moins de soupçonner que le recourant n'utilise ses armes de manière dangereuse pour lui-même.</w:t>
      </w:r>
    </w:p>
    <w:p>
      <w:r>
        <w:rPr>
          <w:b/>
        </w:rPr>
        <w:t>E. 6</w:t>
      </w:r>
    </w:p>
    <w:p>
      <w:r>
        <w:t>Dans un premier temps, l'autorité intimée a exigé du recourant qu'il lui fournisse un certificat médical, puis elle a requis la mise en œuvre d'une expertise psychiatrique. Conformément aux principes sur le fardeau des preuves rappelés ci-dessus, il appartient à l'administré d'établir que rien ne s'oppose, du point de vue de sa santé psychique, à ce que ses armes lui soient restituées, soit que le motif d'exclusion de l'art. 8 al. 2 lit c LArm n'est plus réalisé. L'autorité était donc fondée d'exiger de lui cette preuve. Reste à déterminer si la mise en œuvre d'une expertise psychiatrique s'impose. L'art. 10 al. 2 de la Cst. dispose que tout être humain a droit à la liberté personnelle, notamment à l'intégrité physique et psychique et à la liberté de mouvement. Les restrictions aux droits fondamentaux sont réglées à l'art. 136 de la Cst. qui dispose que toute restriction doit être fondée sur une base légale (al. 1), justifiée par un intérêt public ou par la protection d'un droit fondamental d'autrui (al. 2) et proportionnée au but visé (al. 3); l'essence des droits fondamentaux est inviolable (al. 4). L'étendue de la protection de la liberté personnelle, y compris des droits qui en découlent, et les limites à l'admissibilité des atteintes, doivent être concrétisées dans chaque cas d'espèce, au vu de la nature et de l'intensité de l'atteinte eu égard au besoin de protection particulier de la personne concernée (ATF 126 I 112, consid. 3a, JT 2002 I 405). Le Tribunal fédéral a admis que l'obligation de se soumettre à une expertise psychiatrique constituait une atteinte à la liberté personnelle. Toutefois, il a considéré, dans le cadre d'une procédure d'interdiction, qu'il s'agissait d'une restriction légère à la liberté individuelle (ATF 124 I 40, consid. 3c). Indiscutablement, la décision entreprise vise un intérêt public, à savoir la sécurité publique. La question de savoir si elle repose dans le cadre de la loi sur les armes sur une base légale suffisante peut être laissée ouverte. Force est en effet de constater que dans le cas particulier l'exigence de se soumettre à une expertise psychiatrique viole le principe de la proportionnalité Le principe constitutionnel de la proportionnalité exige que les actes étatiques soient propres à atteindre le but visé, justifiés par un intérêt public prépondérant, et qu’ils soient nécessaires et raisonnables pour les personnes concernées. Une mesure restrictive est notamment disproportionnée si une mesure plus douce est à même de produire le résultat escompté. L'atteinte, dans ses aspects matériel, spatial, temporel et personnel, ne doit pas être plus rigoureuse que nécessaire (ATF 126 I 112 précité consid. 5 b et références citées). La pratique nouvelle de l’autorité intimée qui consisterait à exiger dans tous les cas une expertise psychiatrique viole donc le principe de la proportionnalité, dès lors qu'il lui incombe dans chaque cas particulier d'examiner si une mesure moins rigoureuse est possible. En l'espèce, le recourant a déclaré lors de son interpellation être suivi par un psychiatre lausannois. Le procès-verbal de son audition par la gendarmerie de Nyon à la demande du bureau des armes indique qu’il allait fournir un certificat médical attestant de ses capacités psychiques à détenir des armes à feux. Or, par la suite, il n’a pas produit spontanément ce certificat et l'autorité intimée a exigé l'établissement d'une expertise psychiatrique effectuée par le Département universitaire de psychiatrie adulte. Dans ces circonstances, une attestation du psychiatre qu’il a déjà consulté, soit du Dr. B.________, peut être de nature à établir que les conditions d'exclusion de l'article 8 al. 2 lit. c LArm ne sont plus remplies. En particulier il pourra attester si les troubles présentés par le recourant le 30 avril 2003 qui semblent liés à un événement particulier de sa vie professionnelle ont éventuellement un caractère passager. Enfin, l'autorité intimée fait valoir que dans une affaire semblable (GE.2003.0010), le Tribunal administratif a considéré qu'elle ne devait pas rendre une décision de refus avant d'avoir obtenu une expertise psychiatrique. Or, cette affaire n'a pas donné lieu à un arrêt, la cause ayant été rayée du rôle après que l'autorité intimé a rapporté sa décision. En outre, elle concerne le cas d'un recourant, qui s'était vu refuser un permis de port d'arme et qui disait accepter de se soumettre à une expertise psychiatrique, tandis que l'autorité intimée admettait que son instruction était incomplète. On ne saurait donc en tirer la conclusion qu'avant de statuer l'autorité peut toujours exiger de l'intéressé qu'il se soumette à une expertise psychiatrique.</w:t>
      </w:r>
    </w:p>
    <w:p>
      <w:r>
        <w:rPr>
          <w:b/>
        </w:rPr>
        <w:t>E. 7</w:t>
      </w:r>
    </w:p>
    <w:p>
      <w:r>
        <w:t>Au vu de ce qui précède, le recours doit être admis et la décision entreprise annulée. Il appartiendra à l'autorité de déterminer, une fois que le recourant aura produit une attestation de son psychiatre, si les conditions d'exclusion de l'art. 8 al. 2 LArm, et notamment sa lettre c, ne sont pas remplies. Vu le sort du recours, le présent arrêt sera rendu sans frais. En outre, le recourant qui a été assisté par un mandataire professionnel a droit à des dépens, à charge de la caisse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