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GE.2004.0069 vom 7. Dezember 2004</w:t>
      </w:r>
    </w:p>
    <w:p>
      <w:r>
        <w:t>VD Tribunal cantonal, 2004-12-07, FR</w:t>
      </w:r>
    </w:p>
    <w:p>
      <w:r>
        <w:rPr>
          <w:b/>
        </w:rPr>
        <w:t xml:space="preserve">Quelle: </w:t>
      </w:r>
      <w:r>
        <w:t>https://mcp.opencaselaw.ch/entscheid/vd_omni_GE.2004.0069</w:t>
      </w:r>
    </w:p>
    <w:p>
      <w:r>
        <w:t>FR: VD_OMNI GE.2004.0069 du 7 décembre 2004</w:t>
      </w:r>
    </w:p>
    <w:p>
      <w:r>
        <w:t>IT: VD_OMNI GE.2004.0069 del 7 dicembre 2004</w:t>
      </w:r>
    </w:p>
    <w:p>
      <w:pPr>
        <w:pStyle w:val="Heading2"/>
      </w:pPr>
      <w:r>
        <w:t>Regeste</w:t>
      </w:r>
    </w:p>
    <w:p>
      <w:r>
        <w:t>c/Département des infrastructures, Jean-Pierre Ruga SA | Les sous-critères introduits au stade de l'évaluation des offres sont inhérents aux critères principaux. Le principe de la transparence n'est donc pas violé. De plus, la recourante n'indique pas en quoi elle aurait déposé une offre différente si elle avait connu ces sous-critères. Ces derniers n'ont donc pas d'influence sur le résultat de l'adjudication. Les notes attribuées à la recourante et à l'entreprise adjudicataire ne sont pas insoutenables. Elles sont de plus traçables.</w:t>
      </w:r>
    </w:p>
    <w:p>
      <w:pPr>
        <w:pStyle w:val="Heading2"/>
      </w:pPr>
      <w:r>
        <w:t>Erwägungen</w:t>
      </w:r>
    </w:p>
    <w:p>
      <w:r>
        <w:rPr>
          <w:b/>
        </w:rPr>
        <w:t>E. 17</w:t>
      </w:r>
    </w:p>
    <w:p>
      <w:r>
        <w:t>employés lors du dépôt de son offre puisqu’elle avait pris en considération un employé engagé le 9 février 2004 et dont l’engagement a été ratifié par décision du Service de l’emploi du 5 avril 2004. La recourante n’a donc pas fourni de faux renseignements ou rempli son offre de façon incomplète à tel point que son exclusion se justifie. On ne peut donc pas affirmer qu’en cas d’annulation de la décision litigieuse elle n’ait aucune chance de se faire adjuger le marché. X.________ a donc la qualité pour recourir et il y a lieu d’entrer en matière sur le fond. 2.                X.________ critique les notes qui lui ont été attribuées en rapport avec les critères No 3 et No 4 du tableau d’adjudication, plus particulièrement les sous-critères « formation-collaborateurs » et « qualité personnel-encadrement". Dans ses déterminations du 20 août 2004, elle relève encore que les critères finalement retenus dans ce tableau comparatif ne correspondent pas à ceux mentionnés dans le cahier des charges et que des sous-critères sont apparus au moment de la notation. a) Le canton de Vaud a adhéré le 7 juillet 2004 à l’Accord intercantonal sur les marchés publics (AIMP) des 25 novembre 1994 et 15 mars 2001, l’entrée en vigueur de cet accord dans notre canton étant intervenu le 31 août 2004. Même s’il n’est pas applicable à la présente cause, il y a lieu de relever que l’AIMP prévoit à son art. 1 al. 3 let. c qu’il vise notamment à assurer la transparence des procédures de passation des marchés. La loi sur les marchés publics du 24 juin 1996 (LVMP), applicable au cas d’espèce, contenait de toute manière ce principe puisqu’elle précisait à son art. 3 qu’elle tendait notamment à garantir l’égalité de traitement à tous les soumissionnaires et l’impartialité de l’adjudication, ainsi qu’à assurer la transparence des procédures de passation des marchés. Il y a encore lieu de préciser que tant l’art. 1 AIMP que l’art. 3 LVMP rappellent que la législation en matière de marchés publics a pour but de permettre une utilisation parcimonieuse des deniers publics. La procédure d’appel d’offres était précisée par l’art. 13 RLVMP qui indiquait notamment à son al. 3 let.  j que l’appel d’offres ou la communication directe contenait au minimum les critères d’adjudication par ordre d’importance, dans le cas où il n’était pas remis de document concernant l’appel d’offres. Quant à l’art. 14 al. 1 du règlement précité, consacré aux documents d’appel d’offres, il prévoyait à sa lettre h que ces derniers contenaient au moins les critères d’adjudication dans l’ordre d’importance ainsi que les éléments de coût, tels que frais de transport et d’inspection, droits de douane et autres droits liés à l’importation, pris en considération pour évaluer les prix mentionnés dans l’offre. b) Le principe de la transparence consacré tant dans la LVMP que dans le RLVMP exige tout d’abord que le pouvoir adjudicateur indique aux soumissionnaires potentiels tous les éléments leur permettant de déposer une offre en connaissance de cause. Il vise ensuite à obliger cette autorité à respecter les règles du jeu qu’elle a arrêtées, partant à prévenir les risques de manipulation de ces règles d’appréciation (arrêt TA GE 2003/0117 du 20 avril 2004 et les réf. cit.). Le marché doit être adjugé sur la base des critères annoncés à l’avance aux différents participants et la communication des critères lie l’adjudicateur, de sorte que l’offre la plus avantageuse économiquement se détermine en fonction de cette publication. Il en découle que ces critères doivent ensuite, lors de l’analyse des soumissions, être appliqués de manière non discriminatoire à l’ensemble des entreprises concurrentes (même arrêt et les références). De plus, les critères doivent être énoncées dans l’ordre de leur importance, l’indication du poids respectif de chacun devant être précisé également. Le tribunal de céans a constamment rappelé dans sa jurisprudence qu’il incombait au pouvoir adjudicateur, d’une part, d’arrêter par avance, soit dans l’appel d’offre, soit dans les documents de soumission, les critères de qualification et d’adjudication qu’il entend appliquer, ainsi que les facteurs de pondération éventuels et, d’autre part, de communiquer aux soumissionnaires, au plus tard avant le dépôt de leurs offres, ces critères et leur pondération (voir par ex. arrêt TA GE 2003/0039 du 4 juillet 2003 ; GE 2003/0018 du 27 mai 2003 et GE 2003/0117 précité et les réf., notamment le renvoi aux ATF 125 II 86, à l’ATF non publié du 2 mars 2000 2P.274/1999 et à l’ATF du 24 août 2P.299/2000). La question se pose de façon différente lorsque le pouvoir adjudicateur subdivise les critères dont il fait usage en sous-critère d’adjudication. A cet égard, le Tribunal fédéral a précisé que si un critère ne ressortait pas de ce qui est communément observé dans le cadre du critère principal auquel il se rapport, le principe de transparence en exigeait la communication aux soumissionnaires et à qu’à l’inverse, tel n’était pas le cas lorsque le sous-critère tendait uniquement à concrétiser des éléments inhérents aux critères publiés (ATF 2P.172/2002 du 10 mars 2003 et 2P.146/2001 et 2P.85/2001, tous deux du 6 mai 2002). Ainsi donc, et selon les commentaires jurisprudentiels, seuls devraient être communiqués à l’avance les sous-critères objectivement nécessaires aux soumissionnaires pour la préparation de leur offre et qui ne sont pas inhérents aux critères de base. En d’autres termes, les critères doivent être compris à l’aide de l’ensemble de la documentation remise aux soumissionnaires et c’est sur cette base qu’un sous-critère pourra être qualifié d’inhérent ou non aux critères auxquels il se rapporte. Dans l’affirmative, on n’exigera pas du pouvoir adjudicateur qu’il communique celui-ci aux soumissionnaires préalablement au dépôt de leurs offres. Après avoir adopté une position différente, le Tribunal administratif s’est rallié à cette approche (arrêt TA GE 2003/0117 déjà cité à plusieurs reprises). En revanche, l’exigence de communication préalable ne s’étend pas à l’échelle des notes. c) Sur le plan matériel, l’adjudicateur dispose sans doute d’une grande liberté d’appréciation dans ses décisions, laquelle se traduit non seulement dans la phase finale de l’adjudication mais dans toutes les phases de la procédure (voir sur ce point arrêt TA GE.2003/0117 et les nombreuses références). Dans le cadre de son contrôle, l’autorité judicaire doit faire preuve d’une certaine retenue et laisser au pouvoir adjudicateur une latitude de jugement d’autant plus étendue que le domaine d’application de la norme exige des connaissances techniques (même arrêt et les références). Ce pouvoir n’est limité que par l’interdiction de l’arbitraire ; c’est seulement s’il est confronté à un abus ou à un excès de ce pouvoir d’appréciation que le tribunal devra intervenir. Les procédures de marchés publics revêtent cependant un certain formalisme ; la liberté d’appréciation importante reconnue au pouvoir adjudicateur dans sa décision de passer le marché se trouve en quelque sorte canalisée par la rigueur des règles de la procédure d’adjudication (arrêt GE 2003/0117 et les réf.). Il va en revanche de soi que le pouvoir adjudicateur doit respecter, dans le processus d’attribution des notes (notamment), le principe de l’égalité de traitement. Cela implique que les critères applicables doivent être posés, puis appliqués en fonction des spécificités du marché à attribuer. Cependant, le pouvoir adjudicateur doit faire en sorte que les notes retenues soient fondées sur des critères objectifs, partant susceptibles d’être explicités ; en d’autres termes, la notation doit être traçable. A défaut de cadre de référence, les notes arrêtées individuellement par des experts sont de nature à refléter uniquement leur appréciation subjective et, par voie de conséquence, ces notes ne pourront guère être appliquées aux soumissionnaires évincés. Ainsi, à défaut de découler du principe de transparence, la fixation d’un barème est néanmoins une conséquence du principe de l’égalité de traitement et de l’obligation de motivation des décisions en matière de marchés publics (voir arrêt TA GE 2003/0117 et les nombreuses références citées). d) Au surplus, il appartient à l’adjudicateur de configurer le marché mis en soumission comme il l’entend et en fonction de ses besoins, les règles susmentionnées concernent donc uniquement la procédure, afin d’assurer transparence, non discrimination et concurrence. Aussi, même en présence d’une violation du principe de transparence ou de l’art. 38 RLVMP, le Tribunal administratif a confirmé dans sa jurisprudence qu’il n’y avait pas lieu d’annuler une adjudication lorsque de tels vices n’avaient pas eu de conséquence sur le résultat du marché ; le pouvoir adjudicateur doit cependant rapporter la preuve de cette absence d’influence des violations des règles de procédure sur l’adjudication (voir à nouveau arrêt TA GE 2003/0117 et les réf.). C’est ici l’occasion de rappeler la teneur de l’art. 38 al. 1 et 2 RLVMP qui prévoyait à son al. 1 que le marché est adjugé au soumissionnaire ayant présenté l’offre économiquement la plus avantageuse, que celle-ci était évaluée en fonction de différents critères, notamment le délai de livraison, la qualité, l’engagement des entreprises en faveur de la formation et du perfectionnement professionnel, le prix, la rentabilité, les coûts d’exploitation, le service après-vente, la convenance de la prestation, le caractère esthétique, le caractère écologique, la valeur technique et culturelle, la créativité et les méthodes proposées pour assurer la qualité. L’al. 2 de cette disposition indiquait que les critères d’adjudication devaient figurer par ordre d’importance dans les documents concernant l’appel d’offres. 3.                a) Comme on l’a vu, la recourante critique les notes qui lui ont été attribuées en rapport avec les sous-critères « formation-collaborateurs » et « qualité personnel encadrement » (critères principaux 3 et 4) et le principe même de l’introduction de ces sous-critères. Le chiffre 003 du cahier des charges relatif à la soumission litigieuse est consacré au critère d’adjudication et à leur pondération. Il contient tout d’abord un renvoi au RLVMP qui fixe les critères généraux d’adjudication. Il énumère ensuite par ordre de pondération décroissant les critères d’appréciation des offres de la façon suivante : « - 35% : expérience et compétence de l’entreprise dans le domaine de la restauration du patrimoine monumental historique ; qualités des références annoncées (cf page 3 du formulaire d’entête) ; - 35% :    montant de l’offre ; - 20% :    équipement technique de l’entreprise, potentiel actuel en main d’œuvre qualifiée ; - 5% :     logistique de terrain, modalités de contact avec le centre de décision de l’entreprise ; - 5% :     engagement de l’entreprise dans le domaine de la formation professionnelle. » Selon le chiffre 009 de cahier des charges, l’entrepreneur s’engage à mettre à l’œuvre pour le chantier de restauration de la nef et du portail peint, une équipe d’ouvriers qualifiés à la compétence reconnue, dont l’effectif sera proportionnel à l’ampleur des travaux et à la brièveté des délais et il devra en outre assurer la permanence de cette équipe tout au long du chantier, le responsable de l’équipe étant agréé par la Direction des travaux. Le tableau d’évaluation des offres contient notamment les critères d’évaluation suivants, les autres n’étant pas litigieux : - critère 3 : capacité 20% avec les sous-critères suivants : -    formation direction (M+F, autres) -    formation collaborateurs (M+F, CFC, CAP) 5% 15% - critère 4 : logistique 5% avec les sous-critères suivants : -    ressources disponibles -    qualité personnel – encadrement 4% 1% X.________ soutient, concernant le sous-critère « formation collaborateurs » que l’entreprise adjudicataire a indiqué dans sa soumission un effectif ne correspondant pas à la réalité et que sa situation en matière de personnel serait fluctuante. Elle reproche encore à l’autorité intimée de ne pas avoir tenu compte du fait que Z.________ SA ne possédait aucun ouvrier qualifié en couverture. En rapport avec le sous-critère « qualité personnel – encadrement », la recourante expose que le patron de l’entreprise Z.________ SA assume à la fois la direction technique et l’administration de sa société de sorte qu’il ne peut pas être pris à 100% dans le calcul correspondant à l’encadrement du personnel, tandis que le patron de X.________ s’était engagé à suivre personnellement le chantier et que sur sa quinzaine d’employés, il disposait d’un personnel administratif. b) Conformément à la jurisprudence mentionnée sous considérant 2b ci-dessus, un sous-critère doit être communiqué au soumissionnaire s’il ne ressort pas de ce qui est communément observé dans le cadre du critère principal auquel il se rapporte. Ainsi donc, seuls doivent être communiquée à l’avance les sous-critères objectivement nécessaires aux soumissionnaires pour la préparation de leur offre et qui ne sont pas inhérents aux critères de base. En l’espèce, le critère No 3 du cahier des charges, équipement technique de l’entreprise, potentiel actuel en main d’œuvre qualifiée, a été subdivisée dans le tableau d’évaluation des offres en deux sous-critères, soit formation – direction avec un facteur de pondération de 5% et formation des collaborateurs avec un facteur de pondération de 15%. Comme l’autorité intimée le rappelle, notamment dans ses observations finales du 10 septembre 2004, ces sous-critères sont inhérents au critère de base « potentiel actuel en main d’œuvre qualifiée ». Ils n’avaient donc pas à être communiqués à l’avance aux soumissionnaires. Le critère No 4 du cahier des charges, logistique de terrain, modalités de contacts avec le centre de décision de l‘entreprise, pondéré à hauteur de 5% a été subdivisé dans le tableau d’évaluation en deux sous-critères, soit celui des ressources disponibles (4%) et celui de la qualité du personnel d’encadrement (1%). Il y a également lieu de constater que ces deux sous-critères sont inhérents au critère de base. A cela s’ajoute que la recourante se borne à contester le principe même de l’introduction de ces sous-critères dans le tableau d’évaluation et à en déduire une violation du principe de transparence. Elle n’indique en revanche pas en quoi les sous-critères litigieux ne seraient pas inhérents au critère de base, condition qui, comme on vient de le voir, n’est pas réalisée. De plus, si cette violation du principe de la transparence était réalisée, elle serait de toute manière demeurée sans effet sur le résultat du marché. X.________ n’expose pas en quoi elle aurait été pénalisée par l’introduction de ces sous-critères et elle aurait de toute manière établi son offre de la même manière si elle avait connu ces éléments au moment de son dépôt. Les soumissionnaires devaient en effet présenter des dossiers d’offres complets en remettant notamment un effectif actuel détaillé de leur entreprise et un document présentant un descriptif de cette entreprise et son potentiel actuel en main d’œuvre. c) C’est également en vain que la recourante soutient qu’il fallait différencier dans les critères d’adjudication le nombre d’employés titulaires d’un CFC de couvreur et ceux titulaires d’un CFC de ferblantier. Le marché litigieux était en effet constitué d’un seul lot et l’entreprise Z.________ SA figure sur la liste des soumissionnaires qualifiés pour se voir adjuger des travaux de couverture. Il n’y a donc pas lieu de suivre la recourante lorsqu’elle propose une nouvelle évaluation des offres introduisant un taux de pondération pour ces deux professions et formations en créant ainsi un nouveau sous-critère d’évaluation. d) X.________ s’en prend également à la façon dont le nombre de ses employés, comme ceux de l’adjudicataire, a été arrêtée. La recourante perd de vue que Z.________ SA obtient un nombre de points supérieur au sien tant le cadre de l’évaluation faite sur la base des indications figurant dans son offre que dans le cadre de la nouvelle évaluation à laquelle l’autorité intimée a procédé après le dépôt du recours sur la base des documents qui lui ont été remis par X.________ et Z.________ SA. Plus particulièrement, le Service des bâtiments a établi le 9 juillet 2004 un nouveau tableau de comparaison des offres prenant en considération les effectifs réellement disponibles au moment du dépôt des offres en fonction des données résultant des décomptes AVS. Il en ressort que la recourante obtient un total de 201.70 points alors que Z.________ SA obtient 210.97 points (voir pièce 118 produite à l’appui de la réponse au recours et reproduit sous lettre F de l’exposé des faits ci-dessus). En outre, l’autorité intimée n’a pas fait preuve d’arbitraire en ne prenant pas en considération les employés de la recourante qui se trouvaient en incapacité de travail au moment du dépôt de l’offre puisqu’ils n’étaient pas  disponibles. Ainsi donc et sur la base de ces explications, la recourante souhaite que les notes qui lui ont été attribuées soient revues en insistant notamment sur le fait que la formation et le nombre de ses employés sont supérieurs à la formation des employés de l’adjudicataire. Il a été rappelé au consid. 2c ci-dessus que le pouvoir adjudicateur devait respecter le principe d’égalité de traitement dans le processus d’attribution des notes et que ces dernières devaient se fonder sur des critères objectifs et susceptible d’être explicités. La notation doit donc être traçable. L’autorité intimée a fourni une explication détaillée sur son système de notation (voir notamment sur ce point sa réponse au recours, pages 14 ss). Elle a encore apporté quelques précisions sur cette question dans ses observations finales du 10 septembre 2004. Lors de l’audience du même jour, la recourante a indiqué qu’elle se contentait de ces explications écrites et qu’elle n’avait pas besoin d’autres précisions. Le tribunal de céans ne peut donc que constater que les explications de l’autorité intimée sont convaincantes et que les notes attribuées à la recourante ne sont pas insoutenables. On rappellera sur ce point, en résumé, que pour chacun des critères, une note a été octroyée aux soumissionnaires entre un minimum de 1 et un maximum de 3, que le soumissionnaire dont l’offre pouvait être considérée comme la meilleure obtenait la meilleure note et le soumissionnaire dont l’offre pouvait être considérée la moins bonne obtenait la moins bonne note et que les notes étaient ensuite réparties linéairement entre ces deux extrêmes pour les autres soumissionnaires. Le Service des bâtiments a également précisé de façon convaincante, en ce qui concerne la notation du critère « formation des collaborateurs », qu’il avait été procédé à une comparaison du nombre de collaborateurs avec CFC (sans prendre en compte l’éventuel CFC du directeur de l’entreprise) avec le nombre total de collaborateurs de l’entreprise, à nouveau sans le directeur. La même méthode a prévalu pour le critère de la qualité du personnel d’encadrement. Cette méthode est conforme à la jurisprudence (voir par exemple ATF 129 I 313) et elle explique pourquoi la recourante a obtenu, pour ces critères un nombre de points inférieur à la société adjudicataire alors même qu’elle dispose d’un plus grand nombre de collaborateurs et de collaborateurs avec CFC. Pour être complets, il y a lieu de rappeler que la législation en matière de marchés publics a pour but de permettre une utilisation parcimonieuse des deniers publics (art. 1 AIMP et 3 LVLMP). L’art. 37 al. 1 1 ère phrase RLVMP précise en outre que le marché est adjugé au soumissionnaire ayant présenté l’offre économiquement la plus avantageuse. Or, le système de notation utilisé en l’espèce favorise les offres très chères puisqu’elles obtiennent la moins bonne note même si elles sont anormalement chères. Or, la recourante a présenté, ce qu’elle ne conteste pas, l’offre la plus chère puisqu’elle était de 67,5% plus élevée que l’offre contenant le prix le plus bas. Il s’agit là également d’un élément plaidant pour le rejet du recours. 5.                Il ressort des considérants qui précèdent que le recours est en tous points mal fondé. Il sera donc rejeté aux frais de la recourante. Même s’il obtient gain de cause, le Département des infrastructures, Service des bâtiments, n’a pas droit à des dépens. En effet, ceux-ci constituent une indemnisation partielle des frais que la partie qui obtient gain de cause a été contrainte d’engager pour sauvegarder ses droits. Tel n’est pas le cas d’un département cantonal qui n’agit que dans l’intérêt public et, qui plus est, a la faculté de s’adresser au service juridique de l’administration plutôt que de mandater un avocat (arrêt TA RE 2000/0009 du 3 juillet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