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GE.2003.0117 vom 27. November 2003</w:t>
      </w:r>
    </w:p>
    <w:p>
      <w:r>
        <w:t>VD Tribunal cantonal, 2003-11-27, FR</w:t>
      </w:r>
    </w:p>
    <w:p>
      <w:r>
        <w:rPr>
          <w:b/>
        </w:rPr>
        <w:t xml:space="preserve">Quelle: </w:t>
      </w:r>
      <w:r>
        <w:t>https://mcp.opencaselaw.ch/entscheid/vd_omni_GE.2003.0117</w:t>
      </w:r>
    </w:p>
    <w:p>
      <w:r>
        <w:t>FR: VD_OMNI GE.2003.0117 du 27 novembre 2003</w:t>
      </w:r>
    </w:p>
    <w:p>
      <w:r>
        <w:t>IT: VD_OMNI GE.2003.0117 del 27 novembre 2003</w:t>
      </w:r>
    </w:p>
    <w:p>
      <w:pPr>
        <w:pStyle w:val="Heading2"/>
      </w:pPr>
      <w:r>
        <w:t>Regeste</w:t>
      </w:r>
    </w:p>
    <w:p>
      <w:r>
        <w:t>c/ Municipalité de Crissier | Annulation d'une décision d'adjudicataion d'un mandat d'établir un PGEE prise sur la base d'une évaluation pour partie non traçable, pour partie empreinte d'un formalisme excessif. Au surplus, violation du principe de transparence par le fait que deux des trois sous-critères d'un critère d'adjudication n'ont tout simplement pas été notés en dépit du contenu du cahier des charges.</w:t>
      </w:r>
    </w:p>
    <w:p>
      <w:pPr>
        <w:pStyle w:val="Heading2"/>
      </w:pPr>
      <w:r>
        <w:t>Erwägungen</w:t>
      </w:r>
    </w:p>
    <w:p>
      <w:r>
        <w:rPr>
          <w:b/>
        </w:rPr>
        <w:t>E. 10</w:t>
      </w:r>
    </w:p>
    <w:p>
      <w:r>
        <w:t>20 20 50 2.2 Année d'expérience et domaine d'activité 5 5 3 5 5 5 25</w:t>
      </w:r>
    </w:p>
    <w:p>
      <w:r>
        <w:rPr>
          <w:b/>
        </w:rPr>
        <w:t>E. 15</w:t>
      </w:r>
    </w:p>
    <w:p>
      <w:r>
        <w:t>25 25 25 Il appert que ce résultat à tout le moins contradictoire est dû à une approche excessivement formaliste de ce critère. aaa) On voit en effet qu'au sous-critère n° 2.1, "Références personnelles en PGEE-SIT" , seules les références du chef de projet figurant dans les offres ont été prises en considération; sans que l'on en sache les raisons, il n'a été tenu aucun compte des références de son ou de ses adjoints, quand bien même ces informations étaient demandées au chiffre 9.5 du cahier des charges et que l'expérience d'un adjoint est susceptible de pallier le manque de pratique du chef de projet. L'application formaliste de ce critère a eu pour conséquence, chez l'adjudicataire, que son offre a subi une nette décote au regard de celle des groupements recourants, puisque la note 1 lui a été attribuée au critère 2.1 pour deux références. On pourrait en retirer que l'adjudicataire n'a pas mis à disposition du maître de l'ouvrage une direction adaptée à réaliser le marché; or, cette conclusion est en contradiction avec le résultat de l'évaluation du critère suivant, dont il ressort que l'expérience et les références de ce soumissionnaire seraient au contraire les mieux adaptées au marché. Ainsi, ce résultat ne paraît pas à l'abri de la critique. bbb) Des remarques similaires peuvent être émises s'agissant du sous-critère 2.2, même si le résultat apparaît comme traçable. Le pouvoir adjudicateur s'est en effet contenté d'évaluer les années d'expérience du chef de projet désigné; il est arrivé à la conclusion qu'une note moyenne (3) devait être attribuée au groupe S.________ SA , Samuel Besse pouvant se prévaloir de quatre à cinq ans d'expérience. bb) S'agissant de la notation du critère n° 3, on relève que l'offre du groupement adjudicataire a obtenu 70 points, tandis que celles des recourants X.________ SA et W.________ SA ont obtenu 45, respectivement 27,5 points. Il ressort du tableau récapitulatif que ce critère était en fait subdivisé en deux sous-critères et que les offres ont été notées de la façon suivante: Critère Pond. Notes Notes pondérées X.________ SA S.________ SA Q.________ SA R.________ SA W.________ SA X.________ SA S.________ SA Q.________ SA R.________ SA W.________ SA 3.1. Nombre de réseaux traités chaque réseau, 0,25 pts, 16 réseaux donnent le maximum 10 2,5 5 3,25 2,75 1,25 25 50 32,5 27,5 12,5 3.2. Expérience générale dans le domaine de la modélisation 5 4 4 4 5 3</w:t>
      </w:r>
    </w:p>
    <w:p>
      <w:r>
        <w:rPr>
          <w:b/>
        </w:rPr>
        <w:t>E. 25</w:t>
      </w:r>
    </w:p>
    <w:p>
      <w:r>
        <w:t>aa) Les critiques ont pour l'essentiel trait au sous-critère 4.1; chaque soumissionnaire a en effet reçu la note maximale au sous-critère 4.2 et les groupements recourants ne remettent pas en cause le fait que l'offre du groupement adjudicataire ait, elle aussi, reçu la note 5. La municipalité s'en explique dans ses écritures. Il s'agissait, pour le maître de l'ouvrage, de déterminer le risque de dépassement de délai; plus les collaborateurs mis en œuvre ont des PGEE en cours à traiter en parallèle au présent marché, plus ce risque est supposé élevé. Le solde des prestations demeurant à réaliser pour chaque candidat a été quantifié. Dès 20 PGEE en cours restant à faire entièrement, la note minimale (1) est acquise, tandis que l'absence de travaux en cours, assurant une plus grande disponibilité, le candidat obtient la note maximale (5). C'est ainsi que le groupement adjudicataire, qui fait état de 485% de travaux en cours – le maître de l'ouvrage semble curieusement avoir retenu 585% en ajoutant un mandat à ******** qui au demeurant a été achevé en 1998 – par les personnes mises en œuvre à Crissier selon son organigramme, a reçu la note de 3,8 (5 – 4/20 x 6). Le groupe X.________ SA , pour sa part, a fait état (chapitre 5 de son offre) de 1'710% de travaux à réaliser par ******** et ********; son offre s'est vue gratifiée de 1,6 (5 – 4/20 x 17). Tandis que le groupe W.________ SA , selon le même calcul, a reçu la note minimale, son offre faisant état de 3'195% de PGEE (document 6) à faire par les collaborateurs mis en œuvre dans le cadre du présent marché. On relève, là également, que si la note maximale avait été attribuée aux recourants, ces derniers atteindraient 411, respectivement 407 points et dépasseraient l'adjudicataire au final. Les recourants ne critiquent pas le calcul en tant que tel; le résultat, du reste, apparaît comme traçable. En outre, ils ne remettent pas en cause, à juste titre, son importance pour le maître de l'ouvrage. Pour le groupe X.________ SA , ce critère aurait cependant été utilisé de manière illogique; il ne pouvait être fait abstraction, d'une part, du nombre de collaborateurs mis en œuvre pour la réalisation du marché, d'autre part, d'un facteur temporel afin d'apprécier le nombre de PGEE à traiter non pas lors de la passation du marché mais lors de son exécution. Le groupe W.________ SA formule des reproches similaires à l'encontre de la note qui lui a été adressée. Or, ces critiques s'avèrent fondées aux yeux du tribunal. La notation de ce sous-critère apparaît en effet comme arbitraire. Certes, on ne s'attardera pas sur les griefs ayant trait à l'utilisation d'un facteur temporel; d'exiger en effet du maître de l'ouvrage qu'il prenne en considération chez chaque candidat le nombre de PGEE à traiter non pas lors de la passation du marché, mais lors de son exécution (soit à mi-2004 ou à fin 2004 par exemple) implique de se fonder sur des données qui, par définition, sont encore inconnues. Au surplus, il n'est pas certain que cette exigence modifie fondamentalement le résultat; entre-temps en effet, les candidats peuvent se voir attribuer de nouveaux mandats, en remplacement des mandats achevés. En revanche, on doit reconnaître avec les recourants que l'évaluation de la disponibilité de chaque candidat en fonction du nombre de PGEE à traiter par les collaborateurs mis en œuvre dans le cadre du présent marché aboutit nécessairement à un résultat illogique, à tout le moins beaucoup trop aléatoire pour évaluer de façon correcte la disponibilité des soumissionnaires en concurrence. Il est à peu près certain qu'un soumissionnaire doté de davantage de collaborateurs que son concurrent (et qui peut mettre plus de personnel à disposition pour la réalisation du marché) s'est vu par la force des choses confier un nombre supérieur de mandats que celui-ci. Or, si l'on applique la formule mathématique proposée ici, ce soumissionnaire sera nécessairement pénalisé, bien qu'il ne soit nullement démontré que sa disponibilité sera moindre que celle de son concurrent. En outre, on ne tient aucun compte de l'ampleur et du type des mandats à achever parallèlement au présent marché. Le groupe W.________ SA se plaint du reste, sur ce point, de ce que le maître de l'ouvrage n'ait pas pris en considération le fait que, dans son offre, de nombreux PGEE encore à traiter étaient en phase terminale, que ses prestations sur ceux-ci n'étaient que partielles et que près de quarante d'entre eux concernent des communes de moins de 300 habitants et nécessitent par conséquent un temps limité pour leur réalisation. Le calcul retenu ne prend pas non plus en compte l'existence d'autres mandats en cours que ceux portant sur des PGEE, alors qu'une telle circonstance est tout autant de nature à réduire la disponibilité du bureau concerné. En réalité, on voit que pour être certain d'obtenir un résultat fiable avec la formule appliquée in casu, il eût fallu que chaque soumissionnaire délègue le même nombre de collaborateurs pour exécuter le marché et, par surcroît, ait en parallèle à traiter des PGEE d'une ampleur identique à ceux de ses concurrents. Cette hypothèse au demeurant peu vraisemblable rend d'autant plus arbitraire la notation de ce sous-critère. bb) Le groupe W.________ SA soulève encore un autre grief en relation avec le critère n° 4. En effet, l'intégralité du critère, tel qu'annoncé dans le cahier des charges, n'a pas été notée. Dans le cahier des charges, le critère n° 4 était présenté de la façon suivante: "Organisation et programme de travail. Disponibilité" . Or, seul le troisième volet a été évalué puisqu'en réalité, les sous-critères 4.1 et 4.2 ont exclusivement trait à l'évaluation de la disponibilité des soumissionnaires à réaliser le marché; en revanche, les deux premiers aspects de ce critère n'ont tout simplement pas été notés. Du reste, le groupe W.________ SA se plaint expressis verbis, dans ses écritures complémentaires, de ce que l'organisation qu'il avait spécifiquement mise en place pour le marché n'ait pas été considérée par la commission chargée d'évaluer les offres. On peut également estimer qu'en se plaignant de la façon dont le sous-critère 4.1 a été utilisé en l'occurrence, le groupe X.________ SA , même s'il l'exprime de façon moins claire, rejoint en quelque sorte le groupe W.________ SA dans cette critique. Dans sa jurisprudence, le Tribunal fédéral a rappelé que le jeu de la concurrence risque d'être faussé si le pouvoir adjudicateur a la possibilité de modifier librement au cours de la procédure de passation d'un marché les critères d'adjudication eux-mêmes, de même que leurs valeurs respectives (ATF 125 II, déjà cité, cons. 7c, p. 102); du reste, le même arrêt déplorait encore que le pouvoir adjudicateur, lors de l'évaluation des offres, ait ajouté un critère supplémentaire par rapport à ceux qui avaient été annoncés. Dans un arrêt GE 2002/0047 du 20 septembre 2002, le Tribunal administratif s'est du reste inspiré de cette jurisprudence pour annuler à son tour une décision d'adjudication prise à l'issue d'une procédure au cours de laquelle le pouvoir adjudicateur avait renoncé à noter quatre des cinq critères annoncés. Dans le cas d'espèce, le procédé de l'autorité intimée souffre d'un vice similaire à ceux dénoncés par les arrêts précités : on retient des documents d'appel d'offres que deux sous-critères serviront à apprécier le critère n° 4, alors que, dans son évaluation, l'autorité intimée n'a finalement noté qu'un seul d'entre eux, soit celui de la disponibilité, en omettant d'évaluer, voire en renonçant délibérément à noter l'organisation mise en place par chaque soumissionnaire et son programme de travail. Or, les offres ont été rédigées en fonction de ce sous-critère, les soumissionnaires partant du principe qu'ils seraient également notés sur ce point. Ainsi, en modifiant les règles du jeu en cours de procédure, l'autorité intimée a contrevenu au principe de transparence, notion cardinale en matière de droit des marchés publics. La municipalité intimée, qui n'a pas répondu aux critiques soulevées sur ce point, ne tente pas non plus de démontrer que cette violation n'aurait pas eu d'incidence sur le résultat final. Dans ces conditions, ce vice devrait, à lui seul, conduire à l'annulation de la décision attaquée. e) Enfin, s'agissant du critère n° 7 (présentation et qualité du dossier de l'offre), X.________ SA a reçu la note 4 contre 5 à l'adjudicataire. Dans le procès-verbal de la commission d'évaluation apparaît la remarque suivante, chez le groupe X.________ SA : " Bon dossier, mais toute la documentation et GéoConcept à Note 4 "; or, pour le recourant, cette dernière remarque est incompréhensible. Dans ses écritures, la municipalité entend sans doute par cette remarque que le groupement recourant, dont le dossier a été jugé bon dans l'ensemble, avait, contrairement à l'adjudicataire, apporté un poids quelque peu excessif à la présentation publicitaire du logiciel GeoConcept dans son offre. La notation apparaît sans doute comme sévère; elle n'est cependant pas arbitraire dans la mesure où le groupe X.________ SA a inséré dans son offre, outre le logiciel GeoConcept, six pages de publicité pour le logiciel MOUSE. 3.                     a) Les considérants qui précèdent conduisent dès lors le tribunal à admettre les recours. Le tribunal, qui n'est à l'évidence pas en mesure de procéder lui-même à l'évaluation des offres (voir dans ce sens arrêts GE 2001/0074 du 12 décembre 2001 et GE 2000/0091 du 4 octobre 2000), ne saurait adjuger le marché à l'un ou à l'autre des groupements parties à la procédure. Dans ces conditions, même s'il n'est a priori pas exclu que le résultat final demeure inchangé, la décision attaquée sera annulée. Il incombera ensuite au premier chef à l'entité adjudicatrice de décider à quel stade elle entend reprendre la procédure relative au présent marché; elle est cependant tenue à tout le moins de noter à nouveau les offres aux critères nos 2 à 6, en ayant au préalable pris soin d'arrêter au critère n° 4 une nouvelle grille d'évaluation comportant trois sous-critères, le premier ayant trait à l'organisation, le deuxième au programme de travail, le troisième à la disponibilité du soumissionnaire, en leur conférant une pondération respective. En outre, l'égalité de traitement entre soumissionnaires exige de la municipalité qu'elle invite au préalable les candidats à compléter leur offre, s'agissant des références nécessaires à l'évaluation des sous-critères 3.1 et 5.1 (v. ci-dessus, considérant 2c/bb/aaa et cc/aaa); elle peut toutefois, en lieu et place de ce complément (voire en plus de celui-ci), procéder à un nouvel audit des candidats, portant notamment sur les critères précités. La municipalité a du reste la faculté de reprendre la procédure uniquement avec les trois soumissionnaires parties à la présente procédure. La présente cause lui est renvoyée à cet effet pour nouvelle décision, conformément au considérant 2 ci-dessus. b) La décision attaquée étant annulée et la municipalité intimée succombant, un émolument d'arrêt sera mis à la charge de la Commune de Crissier. Au surplus, des dépens, mis également à la charge de cette dernière, seront alloués au groupe X.________ SA qui obtient gain de cause avec l'assistance d'un conseil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