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GE.2003.0064 vom 29. August 2003</w:t>
      </w:r>
    </w:p>
    <w:p>
      <w:r>
        <w:t>VD Tribunal cantonal, 2003-08-29, FR</w:t>
      </w:r>
    </w:p>
    <w:p>
      <w:r>
        <w:rPr>
          <w:b/>
        </w:rPr>
        <w:t xml:space="preserve">Quelle: </w:t>
      </w:r>
      <w:r>
        <w:t>https://mcp.opencaselaw.ch/entscheid/vd_omni_GE.2003.0064</w:t>
      </w:r>
    </w:p>
    <w:p>
      <w:r>
        <w:t>FR: VD_OMNI GE.2003.0064 du 29 août 2003</w:t>
      </w:r>
    </w:p>
    <w:p>
      <w:r>
        <w:t>IT: VD_OMNI GE.2003.0064 del 29 agosto 2003</w:t>
      </w:r>
    </w:p>
    <w:p>
      <w:pPr>
        <w:pStyle w:val="Heading2"/>
      </w:pPr>
      <w:r>
        <w:t>Regeste</w:t>
      </w:r>
    </w:p>
    <w:p>
      <w:r>
        <w:t>c/ Etat-Major de la Police cantonale vaudoise | Marché de mandataires; violent le principe de la transparence les documents de soumission qui, au lieu de décrire avec précision les prestations demandées, laissent aux soumissionnaires le soin de définir eux-mêmes les services les plus adéquats pour assurer le soutien recherché par le maître de l'ouvrage dans la réalisation du projet.</w:t>
      </w:r>
    </w:p>
    <w:p>
      <w:pPr>
        <w:pStyle w:val="Heading2"/>
      </w:pPr>
      <w:r>
        <w:t>Erwägungen</w:t>
      </w:r>
    </w:p>
    <w:p>
      <w:r>
        <w:rPr>
          <w:b/>
        </w:rPr>
        <w:t>E. 5</w:t>
      </w:r>
    </w:p>
    <w:p>
      <w:r>
        <w:t>Mode de calcul de l'offre ", l'autorité intimée n'a pas été en mesure de l'expliquer; le droit des marchés publics exige pourtant que la motivation d'une telle note puisse être fournie et justifiée. On parle à cet égard d'une exigence de " traçabilité ". En l'occurrence, compte tenu de l'issue de la présente procédure, il n'y a lieu ni d'annuler la décision attaquée pour le motif qu'elle n'est pas explicable sous cet aspect, ni même de compléter l'instruction à cet égard. Le consortium recourant fait enfin valoir une inégalité de traitement, en ce sens que seules deux entreprises ont été entendues en fin de procédure, ce qui n'a pas été le cas des soumissionnaires recourants. Là encore, on renoncera à trancher définitivement ce point, tout en observant que la doctrine paraît admettre de telles procédures de sélection en plusieurs étapes (v. à ce sujet Zufferey/Maillard/Michel, op. cit., p. 123, où les auteurs envisagent expressément la possibilité d'auditionner certains soumissionnaires, considérés comme les meilleurs à l'issue d'une première phase d'évaluation). 6.                     a) Il résulte des considérations qui précèdent que les recours doivent être admis et la décision d'adjudication litigieuse annulée. Il n'y a en revanche pas lieu d'accueillir ici les conclusions des recourants tendant à ce que le marché concerné leur soit adjugé. En l'état de la procédure, ni l'une, ni les autres n'ont en effet démontré que leur offre était la plus avantageuse d'un point de vue économique. Au surplus, le tribunal, qui n'est à l'évidence pas en mesure de procéder lui-même à l'évaluation des offres (voir dans ce sens arrêts GE01/0074 du 12 décembre 2001; GE 00/091 du 4 octobre 2000), ne saurait adjuger le marché à l'une ou l'autre des parties. La cause sera renvoyée à la Police cantonale pour nouvelle décision; celle-ci aura la faculté de reprendre la procédure ab ovo. Mais, elle pourra également poursuivre la procédure en la limitant aux trois concurrents encore en lice; à cet effet, une fois le cahier des charges complété dans le sens des considérants (on relève ici que la norme SIA 108, édition 2001, qu'il s'agisse de prestations usuelles dans la conduite d'un projet ou au contraire de tâches spéciales - art. 3.1.1 et 3.2.2 - recommande une définition de celles-ci aussi précise que possible), elle invitera les trois entreprises concernées à lui adresser une nouvelle offre sur la base de ce nouveau document. Le Tribunal administratif confirme ici la solution qu'il a adopté déjà à plusieurs reprises par le passé (arrêts GE 02/0028 du 9 juillet 2002 et 00/0091 du 4 octobre 2000, à titre d'exemples; v. dans le sens, JAAC 62.80, décision de la Commission fédérale de recours en matière de marchés publics du 28 avril 1998, cons. 3c; contra toutefois, Vincent Carron et Jacques Fournier, La protection juridique dans la passation des marchés publics, Fribourg 2001, p. 127 et ss, not. 129; v. en outre sur ce point, Evelyne Clerc, L'ouverture des marchés publics: Effectivité et protection juridique, thèse Fribourg 1997, p. 556). b) Néanmoins, quand bien même les recourants ne l'emportent que partiellement, l'on doit admettre qu'ils obtiennent gain de cause sur l'essentiel de leurs prétentions; par ailleurs, l'issue de la présente procédure apparaît principalement imputable à l'autorité intimée. Dans ces conditions, les frais doivent être laissés à la charge de l'Etat; au surplus, le groupement recourant, qui est intervenu à la présente procédure par l'intermédiaire d'un mandataire professionnel, a droit à des dépens (art. 55 LJPA). Tel n'est en revanche pas le cas de E.________ SA, qui n'a pas recouru au services d'un mandataire professionnel et qui ne peut dès lors prétendre obtenir des dépens. Pour le surplus, cette société a demandé en audience une indemnité de 7'000 fr.; le tribunal n'est toutefois pas compétent pour statuer sur une telle prétention en dommages-intérêts, qui relève en effet exclusivement de la compétence des tribunaux civils (art. 1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