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GE.2002.0115 vom 29. November 2004</w:t>
      </w:r>
    </w:p>
    <w:p>
      <w:r>
        <w:t>VD Tribunal cantonal, 2004-11-29, FR</w:t>
      </w:r>
    </w:p>
    <w:p>
      <w:r>
        <w:rPr>
          <w:b/>
        </w:rPr>
        <w:t xml:space="preserve">Quelle: </w:t>
      </w:r>
      <w:r>
        <w:t>https://mcp.opencaselaw.ch/entscheid/vd_omni_GE.2002.0115</w:t>
      </w:r>
    </w:p>
    <w:p>
      <w:r>
        <w:t>FR: VD_OMNI GE.2002.0115 du 29 novembre 2004</w:t>
      </w:r>
    </w:p>
    <w:p>
      <w:r>
        <w:t>IT: VD_OMNI GE.2002.0115 del 29 novembre 2004</w:t>
      </w:r>
    </w:p>
    <w:p>
      <w:pPr>
        <w:pStyle w:val="Heading2"/>
      </w:pPr>
      <w:r>
        <w:t>Regeste</w:t>
      </w:r>
    </w:p>
    <w:p>
      <w:r>
        <w:t>c/Municipalité d'Ollon, Service de la mobilité, Service des forêts, de la faune et de la nature | La loi vaudoise concernant l'usage des véhicules à chenilles pendant l'hiver n'est pas applicable aux routes ouvertes à la circulation publique. Or, une route accessible sur toute sa longueur à un cercle indéterminé de personnes tels que chasseurs, promeneurs, riverains est une route publique au sens de la LCR. La circulation avec des véhicules à chenilles n'est donc pas soumise à autorisation.</w:t>
      </w:r>
    </w:p>
    <w:p>
      <w:pPr>
        <w:pStyle w:val="Heading2"/>
      </w:pPr>
      <w:r>
        <w:t>Erwägungen</w:t>
      </w:r>
    </w:p>
    <w:p>
      <w:r>
        <w:rPr>
          <w:b/>
        </w:rPr>
        <w:t>E. 1</w:t>
      </w:r>
    </w:p>
    <w:p>
      <w:r>
        <w:t>Le Tribunal administratif est compétent pour connaître des recours dirigés contre les décisions du Département des infrastructures (art. 4 al. 1 LJPA).</w:t>
      </w:r>
    </w:p>
    <w:p>
      <w:r>
        <w:rPr>
          <w:b/>
        </w:rPr>
        <w:t>E. 2</w:t>
      </w:r>
    </w:p>
    <w:p>
      <w:r>
        <w:t>Les décisions attaquées sont fondées sur la loi cantonale concernant l'usage des véhicules à chenilles pendant l'hiver, du 10 septembre 1974 (LVCh). Celle-ci interdit l'utilisation des véhicules à chenilles sur toute surface enneigée en dehors des voies publiques, ainsi que sur les voies publiques visées à l'art. 43 al. 1 LCR, soit celles "qui ne se prêtent pas ou ne sont manifestement pas destinées aux véhicules à moteur" (art. 2 al. 1 et 2 LVCh). En dérogation à cette interdiction, le Département peut accorder des autorisations de circuler répondant à divers besoins spécifiques (art. 4 al. 1 let. a à c LVCh) ou, dans d'autres cas, "lorsque le besoin est réel et qu'un autre genre de transport ne convient pas ou ne saurait être raisonnablement exigé" (art.</w:t>
      </w:r>
    </w:p>
    <w:p>
      <w:r>
        <w:rPr>
          <w:b/>
        </w:rPr>
        <w:t>E. 4</w:t>
      </w:r>
    </w:p>
    <w:p>
      <w:r>
        <w:t>La route des Tailles ne se prête parfois pas - ou mal - à la circulation en luge à moteur. Dans la mesure où il est alors possible d'accéder au chalet avec le même moyen de transport mais par d'autres itinéraires, les recourants conservent un intérêt à obtenir les autorisations nécessaires. Les recourants n'ont pas mis sérieusement en doute que le nombre des luges à moteur en circulation augmente constamment - leurs propres demandes d'autorisations s'inscrivent d'ailleurs dans cette tendance - et qu'il se justifie donc de statuer de façon plus restrictive, par rapport à la pratique antérieure, sur de telles demandes. Bien qu'elle entraîne certaines complications, l'utilisation du chemin de fer peut être considérée comme raisonnablement exigible selon l'art. 4 al. 1 let. d LVCh. Par conséquent, le Département n'abuse pas de son pouvoir d'appréciation en n'autorisant à A.________ que deux itinéraires depuis Y.________, et seulement  "de manière exceptionnelle". Le recours concerné est donc mal fondé à ce sujet. Pour le surplus, à l'audience, les représentants du Département ont déclaré que la clause "sans transport de passagers" devait s'entendre "sans passagers autres que les membres de la famille". Le recourant acceptant la restriction ainsi interprétée, le Tribunal administratif peut constater qu'un accord est intervenu sur ce point particulier. L'autorisation de circuler habituellement depuis la gare du col de Bretaye, plutôt que depuis la halte des W.________, ne prolongerait l'itinéraire déjà admis que de façon insignifiante, sans inconvénients spécifiques du point de vue de l'intérêt public. Elle serait nettement plus avantageuse pour le bénéficiaire, en tant que les véhicules utilisés pourraient être garés à l'abri des intempéries et des déprédations. Le recours de A.________ sera donc admis sur ce point-ci.</w:t>
      </w:r>
    </w:p>
    <w:p>
      <w:r>
        <w:rPr>
          <w:b/>
        </w:rPr>
        <w:t>E. 5</w:t>
      </w:r>
    </w:p>
    <w:p>
      <w:r>
        <w:t>A la visite du chalet, le Tribunal administratif a constaté qu'une petite chambre avec un lit, à l'étage, est effectivement mise à la disposition du recourant X.________. Un dortoir avec une dizaine de lits se trouve au même niveau. Les recourants ont expliqué que tous les occupants du chalet, y compris X.________, utilisent en commun le séjour et les autres commodités installées au niveau inférieur. Dans ces conditions, le motif pour lequel le Département a refusé l'autorisation demandée par X.________ se trouve démenti. Cette autorité pourra toutefois examiner s'il se justifie d'accorder plus de deux autorisations pour un seul chalet. En effet, les autorisations à délivrer sur la base de  l'art. 4 al. 1 let. d LVCh  doivent répondre à des besoins objectifs. Or, à première vue, compte tenu que les utilisateurs du chalet partagent déjà le même logement, on peut plutôt attendre d'eux qu'ils collaborent et se prêtent leurs véhicules. Aussi l’accès est aisé à ski depuis Bretaye (piste des W.________ et 5 min de marche à ski) et la luge à moteur devrait être utilisée de manière modérée pour les transports de bagages ou de personnes handicapées. Ainsi, le recours de X.________ sera partiellement admis.</w:t>
      </w:r>
    </w:p>
    <w:p>
      <w:r>
        <w:rPr>
          <w:b/>
        </w:rPr>
        <w:t>E. 6</w:t>
      </w:r>
    </w:p>
    <w:p>
      <w:r>
        <w:t>En dépit de l'admission partielle des recours, le Tribunal administratif peut renoncer à annuler ou réformer les décisions attaquées ; en effet, même si le recourant conservaient un intérêt virtuel à contester ces décisions (ATF 107 Ib 392), la saison qu'elles concernaient directement est terminée depuis longtemps.</w:t>
      </w:r>
    </w:p>
    <w:p>
      <w:r>
        <w:rPr>
          <w:b/>
        </w:rPr>
        <w:t>E. 7</w:t>
      </w:r>
    </w:p>
    <w:p>
      <w:r>
        <w:t>Les recourants obtiennent gain de cause sur certains points et succombent sur d'autres, de sorte que la cause doit être terminée sans émolument judiciaire et sans dépens. Les autorisations de circuler en luge à moteur étaient demandées dans un simple but d'agrément, pour l'accès à une résidence secondaire; il apparaît donc équitable que les recourants supportent les frais d'instruction (art. 38 al. 1,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