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GE.2002.0065 vom 19. Mai 2003</w:t>
      </w:r>
    </w:p>
    <w:p>
      <w:r>
        <w:t>VD Tribunal cantonal, 2003-05-19, FR</w:t>
      </w:r>
    </w:p>
    <w:p>
      <w:r>
        <w:rPr>
          <w:b/>
        </w:rPr>
        <w:t xml:space="preserve">Quelle: </w:t>
      </w:r>
      <w:r>
        <w:t>https://mcp.opencaselaw.ch/entscheid/vd_omni_GE.2002.0065</w:t>
      </w:r>
    </w:p>
    <w:p>
      <w:r>
        <w:t>FR: VD_OMNI GE.2002.0065 du 19 mai 2003</w:t>
      </w:r>
    </w:p>
    <w:p>
      <w:r>
        <w:t>IT: VD_OMNI GE.2002.0065 del 19 maggio 2003</w:t>
      </w:r>
    </w:p>
    <w:p>
      <w:pPr>
        <w:pStyle w:val="Heading2"/>
      </w:pPr>
      <w:r>
        <w:t>Regeste</w:t>
      </w:r>
    </w:p>
    <w:p>
      <w:r>
        <w:t>c/SPOP | Fraude la loi celui qui, afin d'éluder l'art. 308 aCC prévoyant une péremption de l'action en paternité, acquiert la nationalité israélienne afin d'agir en Israël, où l'action est imprescriptible, puis demande la transcription du jugement étranger dans les registres suisses de l'état civil.</w:t>
      </w:r>
    </w:p>
    <w:p>
      <w:pPr>
        <w:pStyle w:val="Heading2"/>
      </w:pPr>
      <w:r>
        <w:t>Erwägungen</w:t>
      </w:r>
    </w:p>
    <w:p>
      <w:r>
        <w:rPr>
          <w:b/>
        </w:rPr>
        <w:t>E. 27</w:t>
      </w:r>
    </w:p>
    <w:p>
      <w:r>
        <w:t>al. 1er LDIP, lequel prohibe la reconnaissance d'une décision étrangère manifestement incompatible avec l'ordre public suisse. Les recourants confondent à tort fraude à la loi et réserve d'ordre public. S'il arrive que la loi applicable par fraude puisse se révéler contraire à l'ordre public, la réserve d'ordre public vise la teneur de la loi applicable, alors qu'en matière de fraude à la loi, on s'en prend au procédé ayant conduit à l'application de celle-ci (Knoepfler/Schweizer, Précis de droit international privé suisse, Staempfli 1990, p. 116 n° 347; Bucher, Droit international privé suisse, tome I/2 Partie générale, Helbing &amp; Lichtenhahn 1995, p. 91 n° 201; Battifol/Lagarde, Droit international privé, 1974, p. 468, n. 374). Il convient dès lors de distinguer ces deux moyens. b) La réserve d'ordre public prévue à l'art. 27 al. 1er LDIP est le moyen permettant au juge de refuser de donner effet en Suisse à une décision étrangère lorsque la prise en considération de celle-ci irait à l'encontre du sentiment juridique national dans une mesure intolérable, respectivement heurterait de manière intolérable le sentiment du droit tel qu'il existe généralement en Suisse et violerait les règles fondamentales de l'ordre juridique suisse (ATF 117 II 494, 102 Ia 574; Bucher, op. cit., p. 164 n° 416 ss). Les recourants considèrent en l'occurrence que le caractère imprescriptible de l'action en paternité en Israël contrevient à l'ordre public suisse dès lors qu'à teneur du droit suisse applicable au cas de Y.________ - soit les art. 308 ancien CC et 13a du titre final CC - cette action serait absolument prescrite. Cette argumentation ne saurait être reçue. Il est en effet de jurisprudence que le fait qu'un droit étranger ne soumette l'action en paternité à aucun délai ne heurte pas l'ordre public suisse (ATF 96 II 8; 118 II 468). Force est en outre de constater que l'institution elle-même de l'action en paternité, dont le but est de faire coïncider réalité biologique et juridique, est connue du droit suisse de la filiation dans son ancienne comme dans sa nouvelle teneur (art. 308 aCC et 261 CC), que le moyen de parvenir à ce but en procédant à un test ADN est reconnu, voire préconisé, dans notre pays, et que le Tribunal fédéral tient pour prépondérant l'intérêt de l'enfant à connaître son ascendance (ATF 125 I 257, consid. 3). c) Relevant du concept général de l'abus de droit, lequel commande que les règles du droit résistent à toute démarche tendant à les détourner de leur but, le concept de fraude à la loi propre au droit international privé tend à priver de ses effets la démarche de particuliers qui manipulent les règles de conflit dans le but d'échapper à la loi normalement applicable, ceci par le changement frauduleux d'un facteur de rattachement tel que le lieu de situation d'une chose, le lieu de conclusion d'un acte, le siège d'une société, la nationalité ou le domicile d'une personne. En d'autres termes, un élément constitutif de l'état de fait de la règle de conflit est modifié par un acte de volonté dans le seul but d'échapper à l'application de la loi normalement désignée par cette règle (Bucher, op. cit., p. 88 n° 193 ss). En l'occurrence, les recourants soutiennent que la fraude a consisté, pour Y.________, à acquérir la nationalité israélienne à seule fin de contourner le droit suisse, applicable en vertu de l'art. 68 LDIP, lequel prévoit que la constatation de la filiation est régie par le droit de l'Etat de la résidence habituelle de l'enfant. Il n'y a fraude à la loi qu'en cas d'interdiction d'éluder une règle de droit matériel impérative (Vischer, v. IPRG Kommentar, n. 14 art. 17; Florence Guillaume, Lex societatis, thèse, Lausanne, 2001, p. 300). L'art. 308 aCC, en tant qu'il prévoyait un délai de péremption de l'action en paternité, établi dans l'intérêt du défendeur (Tuor, Le Code civil suisse, 1950, p. 234), avait assurément la nature d'une telle règle. Pour décider si elle a été éludée, il faut l'interpréter, afin de déterminer si le législateur a entendu exclure qu'on s'y soustraie, sans l'exprimer toutefois de manière satisfaisante, ou au contraire tolérer qu'une autre voie légale soit choisie pour atteindre le même but; dans le premier cas, on comblera une lacune occulte affectant la règle en niant la faculté d'emprunter une autre voie, tandis que dans le second cas on laissera libre cours à l'autonomie de la volonté (Deschenaux, Le Titre préliminaire du Code civil, p. 148; Florence Guillaume, op. cit., p. 313 ss et les renvois). A titre d'exemple, une telle interprétation du droit matériel a été effectuée en quelque sorte par le législateur lui-même à l'art. 45 al. 2 LDIP où on lit que les causes de nullité du mariage prévues par le droit suisse ne peuvent pas être éludées par la célébration d'un mariage à l'étranger. Le but de l'art. 308 aCC était d'éviter que le défendeur à l'action en paternité "ne soit indéfiniment exposé au danger de subir les conséquences préjudiciables attachées au commerce sexuel extra-conjugal" et de "lui permettre de se défendre contre l'action en paternité à un moment où il peut encore réunir les moyens qui lui semblent appropriés à cet effet avant qu'il ait perdu toute valeur probante" (Tuor, op. cit., p. 234). Si une telle ratio legis a disparu tant avec l'adoption en 1976 du nouveau droit de la filiation, qui a notamment abandonné la distinction entre légitimité et illégitimité (Hegnauer, Droit suisse de la filiation, 1984, p. 26), qu'avec la découverte de moyens d'établissement de la filiation comme l'expertise ADN, l'art. 308 aCC n'en est pas moins toujours applicable aux enfants nés sous l'ancien droit et demeurés sans lien de paternité (art. 3 Titre final CC; Honsell/Vogt/Geiser, Kommentar zum schweizerischen Recht, n. 1 ad art. 12 Titre final CC). Or, l'interprétation de cette norme n'a pas à varier avec l'évolution des mentalités et des techniques : aujourd'hui comme hier, elle a été conçue en particulier pour limiter la durée de la menace d'une action en paternité : à l'échéance du délai légal, le défendeur éventuel à celle-ci doit pouvoir aménager sa situation notamment financière en faisant abstraction d'une paternité (Egger, in Zürcher Kommentar, n. 7 ad. art. 308 CC : "er soll auch nicht auf Jahr und Tag hinaus noch von einem Vaterschaftsprozess bedroht bleiben"). On en déduit qu'une opération irait manifestement à l'encontre de ce but si elle permettait de réactualiser ladite menace. Tel est le cas en l'espèce. Alors que le père de Y.________ a été protégé par l'art. 308 aCC dès 1956, le procédé de son fils naturel ayant consisté à agir en paternité là où cette protection n'existait pas a ôté son sens à la loi suisse : comme l'expose Jean-François Perrin (La fraude à la loi et l'ordre public en droit privé, in Mélanges Pierre Engel, 1989, p. 259, spéc. 262), le principe de la légalité commande alors de sanctionner une fraude à la loi, celle-ci étant "une manière particulière de violer la loi". Que la faculté d'obtenir la reconnaissance d'un jugement en constatation de paternité rendu dans l'Etat national de l'enfant soit expressément aménagée par l'art. 70 LDIP n'y change rien : c'est précisément l'existence d'un choix du droit applicable qui permet une manoeuvre frauduleuse, le droit des conflits constituant le terrain de prédilection de la fraude à la loi et seul le choix du droit applicable étant licite, lorsqu'il reflète une situation réelle (Guillaume, op. cit., 297). Or le recourant n'a pas utilisé cette règle de conflit en tant qu'elle était apte à s'appliquer à la situation réelle mais seulement après la création du critère de rattachement de la nationalité, dans le seul but d'échapper au droit suisse. La fraude à la loi doit donc être reconnue. La conséquence en est qu'il doit être fait abstraction de l'acte frauduleux, ici de la reconnaissance de paternité obtenue malgré la péremption de l'art. 308 aCC; celle-ci doit être frappée d'inopposabilité, la situation devant être réglée comme si elle n'avait pas existé (Guillaume, op. cit., p. 319 et les renvois). Appelée à décider si un jugement étranger pouvait être reconnu en Suisse, l'autorité intimée était tenue d'appliquer la clause générale de la fraude à la loi, même si celle-ci n'a pas trouvé son expression dans la LDIP (Guillaume, op. cit., p. 312), si ce n'est dans le cas particulier de l'art. 45 LDIP mentionné plus haut. Cela étant, même si les conditions des art. 25 ss LDIP concernant la reconnaissance des décisions étrangères étaient en l'espèce réalisées, elle n'en devait pas moins refuser de transcrire une reconnaissance obtenue dans le but d'éluder la loi. 5.                     Obtenant gain de cause, les recourants se verront allouer des dépens fixés à 2'500 fr. à la charge de Y.________. Celui-ci supportera les frais de la cause,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