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GE.2001.0093 vom 14. Mai 1997</w:t>
      </w:r>
    </w:p>
    <w:p>
      <w:r>
        <w:t>VD Tribunal cantonal, 1997-05-14, DE</w:t>
      </w:r>
    </w:p>
    <w:p>
      <w:r>
        <w:rPr>
          <w:b/>
        </w:rPr>
        <w:t xml:space="preserve">Quelle: </w:t>
      </w:r>
      <w:r>
        <w:t>https://mcp.opencaselaw.ch/entscheid/vd_omni_GE.2001.0093</w:t>
      </w:r>
    </w:p>
    <w:p>
      <w:r>
        <w:t>FR: VD_OMNI GE.2001.0093 du 14 mai 1997</w:t>
      </w:r>
    </w:p>
    <w:p>
      <w:r>
        <w:t>IT: VD_OMNI GE.2001.0093 del 14 maggio 1997</w:t>
      </w:r>
    </w:p>
    <w:p>
      <w:pPr>
        <w:pStyle w:val="Heading2"/>
      </w:pPr>
      <w:r>
        <w:t>Regeste</w:t>
      </w:r>
    </w:p>
    <w:p>
      <w:r>
        <w:t>X. /Préfecture de Vevey, Service vétérinaire | L'art. 6 du règlement du Conseil d'Etat du 14 mai 1997 sur le séquestre et la mise en fourrière d'animaux habilite le Vétérinaire cantonal à ordonner la mise à mort d'un animal dans le cadre restreint de la loi fédérale sur la protection des animaux, à savoir lorsqu'un animal est négligé ou mal détenu, mais non pas lorsqu'il est dangereux, seul étant alors compétent le préfet, en application de l'art. 120 CRF.</w:t>
      </w:r>
    </w:p>
    <w:p>
      <w:pPr>
        <w:pStyle w:val="Heading2"/>
      </w:pPr>
      <w:r>
        <w:t>Volltext</w:t>
      </w:r>
    </w:p>
    <w:p>
      <w:r>
        <w:t>Vaud Tribunal cantonal Cour de droit administratif et public 15.11.2001 GE.2001.0093</w:t>
      </w:r>
    </w:p>
    <w:p>
      <w:r>
        <w:t>X. /Préfecture de Vevey, Service vétérinaire | L'art. 6 du règlement du Conseil d'Etat du 14 mai 1997 sur le séquestre et la mise en fourrière d'animaux habilite le Vétérinaire cantonal à ordonner la mise à mort d'un animal dans le cadre restreint de la loi fédérale sur la protection des animaux, à savoir lorsqu'un animal est négligé ou mal détenu, mais non pas lorsqu'il est dangereux, seul étant alors compétent le préfet, en application de l'art. 120 CRF.</w:t>
      </w:r>
    </w:p>
    <w:p>
      <w:r>
        <w:t>Waadt Cour de droit administratif et public Vaud Tribunal cantonal Cour de droit administratif et public Vaud Cour de droit administratif et public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