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GE.2000.0165 vom 17. April 2001</w:t>
      </w:r>
    </w:p>
    <w:p>
      <w:r>
        <w:t>VD Tribunal cantonal, 2001-04-17, FR</w:t>
      </w:r>
    </w:p>
    <w:p>
      <w:r>
        <w:rPr>
          <w:b/>
        </w:rPr>
        <w:t xml:space="preserve">Quelle: </w:t>
      </w:r>
      <w:r>
        <w:t>https://mcp.opencaselaw.ch/entscheid/vd_omni_GE.2000.0165</w:t>
      </w:r>
    </w:p>
    <w:p>
      <w:r>
        <w:t>FR: VD_OMNI GE.2000.0165 du 17 avril 2001</w:t>
      </w:r>
    </w:p>
    <w:p>
      <w:r>
        <w:t>IT: VD_OMNI GE.2000.0165 del 17 aprile 2001</w:t>
      </w:r>
    </w:p>
    <w:p>
      <w:pPr>
        <w:pStyle w:val="Heading2"/>
      </w:pPr>
      <w:r>
        <w:t>Regeste</w:t>
      </w:r>
    </w:p>
    <w:p>
      <w:r>
        <w:t>c/ Municipalité de Payerne | Violation du principe de transparence à raison du défaut d'indication de la pondération des critères; celle qui a été retenue ne respectait d'aileurs par l'ordre des critères tel qu'annoncé.</w:t>
      </w:r>
    </w:p>
    <w:p>
      <w:pPr>
        <w:pStyle w:val="Heading2"/>
      </w:pPr>
      <w:r>
        <w:t>Erwägungen</w:t>
      </w:r>
    </w:p>
    <w:p>
      <w:r>
        <w:rPr>
          <w:b/>
        </w:rPr>
        <w:t>E. 8</w:t>
      </w:r>
    </w:p>
    <w:p>
      <w:r>
        <w:t>let. h RMP, de sorte que le pouvoir adjudicateur ne peut pas faire appel à cette disposition. Par ailleurs, ce dernier ne mentionne pas d'événements imprévisibles pour justifier l'adjudication de prestations supplémentaires à l'entreprise retenue. Il n'est dès lors pas nécessaire de définir de manière plus précise la notion d'événements imprévisibles au sens de cette disposition; en particulier, on peut laisser indécis le point de savoir si l'expression " événements imprévisibles" doit être comprise dans le même sens aux lettres d et e de l'art. 8 RMP (sur un cas d'application de la lettre d, voir TA, arrêt GE 00/0136 du 24 janvier 2001). En réalité, les représentants de la municipalité se sont bornés à indiquer en audience que ce sont des préoccupations pratiques qui les ont amenés à attribuer ces travaux supplémentaire à l'entreprise adjudicataire; ils n'ont pas non plus fait valoir que des événements imprévisibles rendaient les travaux de rénovation examinés ici à ce point urgents qu'il était exclu de conduire une procédure d'appel d'offre ordinaire (au demeurant, au vu de l'arrêt GE 00/0136 du 24 janvier 2001 ce serait d'ailleurs à tort que la municipalité aurait invoqué l'art. 8 let. d RMP). En d'autres termes, l'adjudication des travaux urgents, intervenue de gré à gré en supplément de la variante produite dans le délai de dépôt des offres, est contraire à l'art. 8 RMP et doit en conséquence être annulée également. c) Au demeurant, même dans l'hypothèse où la variante retenue en définitive ne devrait pas être exclue, la décision attaquée ne résisterait pas à l'examen pour un autre motif encore. On se souvient tout d'abord des critères énoncés au chiffre 1.81 du cahier des charges (partie faits ci-dessus let. C/e); cette liste de critères n'était pas accompagnée d'une pondération de ceux-ci. Il faut en déduire principalement que le poids des différents critères résulte de l'ordre dans lequel ceux-ci sont énoncés (art. 38 al. 1 RMP). Or, dans les évaluations concrètes établies par K., d'une part, par T. SA , d'autre part, ces bureaux ont établi des pondérations - dont T. SA souligne d'ailleurs qu'elles peuvent influer de manière importante sur le résultat de cette appréciation - qui ne respectent ni l'une, ni l'autre l'ordre dans lequel ces critères sont énoncés. On se réfère à ce propos au rapport K. du 4 février 2000 (voir partie faits D/b); quant au tableau des notes arrêtées par T. SA le 13 avril 2000, il table au contraire sur une absence de pondération, chaque critère étant placé sur un pied d'égalité. En réalité, il eut été souhaitable que le pouvoir adjudicateur arrête par avance la grille d'évaluation et la communique aux soumissionnaires, avant le dépôt de leurs offres (la CRM considère que seule cette solution est conforme au principe de transparence : voir par exemple JAAC 65.11; voir aussi TA, arrêt GE 00/0091 du 4 octobre 2000; le Tribunal fédéral considère apparemment que la pondération des critères n'a pas nécessairement à être annoncée à l'avance : arrêt du 2 mars 2000, résumé in SJ 2000, 546). Quoi qu'il en soit, une prise en compte à valeur égale des critères d'adjudication annoncés, alors même que ceux-ci devraient avoir un poids décroissant en fonction de l'ordre dans lequel ils sont annoncés, devraient être portées par avance à la connaissance des soumissionnaires (CMR JAAC 64.11 précité). En d'autres termes, les tableaux d'évaluation retenus par la municipalité pour statuer sur l'adjudication ici litigieuse, dans la mesure où ils ne respectent pas l'ordre des critères indiqués, violent le principe de la transparence. Ainsi, dans l'hypothèse où la municipalité reprendrait l'évaluation des offres, à l'issue de la présente procédure de recours, il lui appartiendrait d'élaborer une matrice d'évaluation, puis de la communiquer aux soumissionnaires en les invitant à compléter leurs offres. d) Les griefs examinés ci-dessus conduisent à l'admission des recours, de sorte qu'il est inutile de procéder encore à l'examen des autres moyens soulevés. On formulera néanmoins quelques brèves remarques à ce propos, dans un souci d'économie de la procédure. aa) Les recourantes ont fait valoir que le pouvoir adjudicateur se serait engagé dans des négociations avec l'entreprise adjudicataire, en violation du principe posé à l'art. 36 RMP. Ce moyen n'apparaît toutefois guère pertinent, dans la mesure où les négociations ont concerné essentiellement (il eût été opportun que la municipalité soit en mesure de prouver ce point, notamment en produisant des procès-verbaux des séances tenues avec l'entreprise adjudicataire) les travaux qu'elle envisageait d'adjuger de gré à gré; or, il va de soi qu'une attribution de gré à gré postule des négociations entre adjudicateur et adjudicataire. Ce moyen n'a ainsi guère de portée propre par rapport à celui, examiné ci-dessus, du non-respect de l'art. 8 RMP. bb) Les entreprises recourantes rappellent que le délai de validité des offres venait à échéance le 15 juin 2000 et que celui-ci a été très largement dépassé, puisque la décision d'adjudication n'a été communiquée aux entreprises concernées que le 15 décembre suivant. A première vue, ce moyen ne paraît pas décisif; en effet, si les entreprises concernées recourent en concluant à ce que le marché leur soit adjugé, c'est qu'elles confirment en quelque sorte l'offre qu'elles ont formulée (à l'inverse, ces entreprises, si elles avaient bénéficié de l'adjudication, auraient pu la décliner, en faisant valoir que le délai de validité était déjà échu). cc) On peut mentionner ici également la question de la récusation du chef de la direction des travaux, .... Il ressort du dossier que ce dernier a joué un rôle central dans la gestion de ce dossier (voir par exemple pièce 10 où l'on constate que la proposition de décision a été présentée par ce dernier à la municipalité). Cependant, le fait qu'il ait été employé du cabinet d'ingénieurs ... à C., il y a quelques années, ne justifie pas une récusation de celui-ci, quand bien même le bureau précité intervient en qualité de sous-traitant de l'adjudicataire dans la rénovation projetée. 3.                     Lorsque le tribunal parvient à la conclusion qu'un recours est bien fondé, il a la possibilité, pour autant que le contrat ne soit pas encore conclu (ce qui n'est pas le cas en l'espèce), soit de statuer au fond, soit de renvoyer la cause au pouvoir adjudicateur dont il annule la décision, au besoin avec des instructions impératives (art. 13 al. 1 LVMP). Dans le cas d'espèce, l'une des recourantes a renoncé à conclure à l'adjudication des travaux, de sorte que, pour elle, seule l'annulation de la décision attaquée est envisageable. S'agissant de l'autre recourante, elle a conclu principalement à l'annulation et subsidiairement seulement à la réforme de la décision attaquée dans le sens d'une adjudication. Au vu des vices constatés plus haut, notamment s'agissant du poids à attribuer aux différents critères d'adjudication annoncés dans le cahier des charges, le tribunal n'est à l'évidence pas en mesure de procéder lui-même à l'évaluation des offres (voir dans ce sens TA arrêt du 4 octobre 2000 précité, GE 00/0091); la décision attaquée sera en conséquence annulée. Au surplus, il incombe au premier chef et à l'entité adjudicatrice de décider à quel stade elle entend reprendre la procédure relative au présent marché. Si elle renonce à interrompre celle-ci et à la reprendre ab ovo, elle pourra la poursuivre en se contentant d'arrêter la matrice d'évaluation qu'elle veut appliquer, puis de la communiquer aux soumissionnaires en les invitant à compléter leurs offres, cela avant de statuer à nouveau. L'autorité intimée a également la faculté d'interrompre au contraire la procédure - par exemple au terme de la phase de sélection - pour la reprendre sur la base d'un nouveau cahier des charges. On relèvera à cet égard que les arguments relatifs à l'opportunité des solutions retenues dans le cahier des charges initial, voire de celles préconisées par l'entreprise adjudicataire, s'ils ne sont pas pertinents dans le cadre de la présente procédure, pourraient justifier une reprise de la procédure par le biais d'une nouvelle mise en soumission. Aux yeux de la municipalité, il résulte des analyses de T. SA (en relation avec les constatations portant sur le degré de couverture du système séparatif pour le territoire de C.) que le projet tel que décrit dans le cahier des charges reposait sur un concept inadéquat (à tout le moins par rapport aux possibilités de financement de la commune intimée); il est ainsi vraisemblable qu'il doive faire l'objet de modifications importantes au sens de l'art. 42 al. 2 lit. c RMP. Pour le surplus, si la municipalité retenait cette option et reprenait à son compte le concept d'D. pour un nouvel appel d'offres, il n'appartiendrait pas au tribunal de céans de dire si cette prestation devrait ou non être honorée par la commune. 4.                     Les recours étant admis, il convient de mettre les frais de la présente procédure à la charge de la Commune de C., qui succombe; celle-ci devra également aux entreprises recourantes, qui sont intervenues à la procédure par l'intermédiaire d'un mandataire professionnel, 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