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GE.2000.0161 vom 22. Dezember 2000</w:t>
      </w:r>
    </w:p>
    <w:p>
      <w:r>
        <w:t>VD Tribunal cantonal, 2000-12-22, FR</w:t>
      </w:r>
    </w:p>
    <w:p>
      <w:r>
        <w:rPr>
          <w:b/>
        </w:rPr>
        <w:t xml:space="preserve">Quelle: </w:t>
      </w:r>
      <w:r>
        <w:t>https://mcp.opencaselaw.ch/entscheid/vd_omni_GE.2000.0161</w:t>
      </w:r>
    </w:p>
    <w:p>
      <w:r>
        <w:t>FR: VD_OMNI GE.2000.0161 du 22 décembre 2000</w:t>
      </w:r>
    </w:p>
    <w:p>
      <w:r>
        <w:t>IT: VD_OMNI GE.2000.0161 del 22 dicembre 2000</w:t>
      </w:r>
    </w:p>
    <w:p>
      <w:pPr>
        <w:pStyle w:val="Heading2"/>
      </w:pPr>
      <w:r>
        <w:t>Regeste</w:t>
      </w:r>
    </w:p>
    <w:p>
      <w:r>
        <w:t>c/Municipalité de Mathod | Les critères (de qualification) ne peuvent pas être appliqués deux fois, lors de la sélection d'abord, puis lors de l'adjudication; il n'est toutefois pas exclu par principe de recourir à des critères de qualification (affinés) lors de l'adjudication (solution du Guide romand admise).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Dans la mesure où la recourante l'emporte sur le principe, l'émolument d'arrêt doit être mis à la charge de la commune intimée, qui supportera également des dépens, la recourante ayant agi par l'intermédiaire d'un mandataire professionnel (art. 55 LJPA).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