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GE.2000.0123 vom 21. Dezember 2000</w:t>
      </w:r>
    </w:p>
    <w:p>
      <w:r>
        <w:t>VD Tribunal cantonal, 2000-12-21, FR</w:t>
      </w:r>
    </w:p>
    <w:p>
      <w:r>
        <w:rPr>
          <w:b/>
        </w:rPr>
        <w:t xml:space="preserve">Quelle: </w:t>
      </w:r>
      <w:r>
        <w:t>https://mcp.opencaselaw.ch/entscheid/vd_omni_GE.2000.0123</w:t>
      </w:r>
    </w:p>
    <w:p>
      <w:r>
        <w:t>FR: VD_OMNI GE.2000.0123 du 21 décembre 2000</w:t>
      </w:r>
    </w:p>
    <w:p>
      <w:r>
        <w:t>IT: VD_OMNI GE.2000.0123 del 21 dicembre 2000</w:t>
      </w:r>
    </w:p>
    <w:p>
      <w:pPr>
        <w:pStyle w:val="Heading2"/>
      </w:pPr>
      <w:r>
        <w:t>Regeste</w:t>
      </w:r>
    </w:p>
    <w:p>
      <w:r>
        <w:t>c/DFJ | Le DFJ statue définitivement sur les recours contre les décisions du doyen pour l'enseignement de la musique.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octobre 2000). Il a néanmoins expressément maintenu ce recours. Dans ces conditions, conformément à l'art. 55 LJPA, il y a lieu de mettre à sa charge un émolument pour l'ouverture du dossier, les écritures consécutives au dépôt du recours et le présent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