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GE.1999.0167 vom 1. Mai 2001</w:t>
      </w:r>
    </w:p>
    <w:p>
      <w:r>
        <w:t>VD Tribunal cantonal, 2001-05-01, FR</w:t>
      </w:r>
    </w:p>
    <w:p>
      <w:r>
        <w:rPr>
          <w:b/>
        </w:rPr>
        <w:t xml:space="preserve">Quelle: </w:t>
      </w:r>
      <w:r>
        <w:t>https://mcp.opencaselaw.ch/entscheid/vd_omni_GE.1999.0167</w:t>
      </w:r>
    </w:p>
    <w:p>
      <w:r>
        <w:t>FR: VD_OMNI GE.1999.0167 du 1 mai 2001</w:t>
      </w:r>
    </w:p>
    <w:p>
      <w:r>
        <w:t>IT: VD_OMNI GE.1999.0167 del 1 maggio 2001</w:t>
      </w:r>
    </w:p>
    <w:p>
      <w:pPr>
        <w:pStyle w:val="Heading2"/>
      </w:pPr>
      <w:r>
        <w:t>Regeste</w:t>
      </w:r>
    </w:p>
    <w:p>
      <w:r>
        <w:t>c/DSAS | Le fait de pratiquer et maîtriser simultanément toutes les branches de la médecine chinoise ne permet pas d'être mis au bénéfice d'une dérogation sur la base de la disposition citée en titre. Les différents volets de la médecine chinoise sont en effet très répandus en Suisse et sont pratiqués par de nombreux médecins.</w:t>
      </w:r>
    </w:p>
    <w:p>
      <w:pPr>
        <w:pStyle w:val="Heading2"/>
      </w:pPr>
      <w:r>
        <w:t>Erwägungen</w:t>
      </w:r>
    </w:p>
    <w:p>
      <w:r>
        <w:rPr>
          <w:b/>
        </w:rPr>
        <w:t>E. 2</w:t>
      </w:r>
    </w:p>
    <w:p>
      <w:r>
        <w:t>litt a LSP), une clarification de l'ancien alinéa 3 de l'art. 91 LSP, - dont le terme "motifs impérieux de santé publique" est imprécis et dont la modification confirme l'interprétation faite par le département et ne conduit pas à un changement de pratique -. Quant au développement d'activités médicales nouvelles (litt. b), le texte nouveau représente une ouverture répondant au souhait émis dans l'interpellation de Charles Favre. Le but de la nouvelle disposition est ainsi de permettre le développement d'activités médicales nouvelles susceptibles de faire venir dans le pays des patients étrangers attirés par la qualité des soins, une technologie plus développée et une offre qu'ils ne trouvent pas dans leur pays de domicile, tout en permettant, pour les patients indigènes, de bénéficier d'une forme d'avancée des techniques médicales (BGC, op. cit. p. 517s. et 520 s.). 7.                     Il apparaît ainsi en l'espèce que l'autorité intimée n'a pas abusé du pouvoir d'appréciation qui lui est conféré par l'art. 91 al. 2 LSP, pas plus qu'elle n'a violé cette disposition. Tout au plus peut-on souligner que son raisonnement et la motivation de la décision attaquée sont un peu sommaires s'agissant de l'absence d'équivalence entre le diplôme lituanien du recourant et un diplôme fédéral de médecine. Elle se contente en effet d'affirmer dans ses déterminations du 9 février 2000 que les diplômes décernés dans l'ex-URSS n'ont pas été jugé équivalents au diplôme fédéral et ce, sans apporter aucun élément à l'appui de cette allégation. Point n'est cependant besoin d'examiner plus à fond cette question puisque le recourant ne remplit pas, comme on va le voir, l'une ou l'autre des deux conditions alternatives supplémentaires posées à la lettre b de l'art. 91 al. 2 LSP. a) Par spécialisation particulière, il convient de comprendre une formation qui n'est pas dispensée en Suisse (Arrêt TA GE 99/0125 du 29 septembre 2000). Or, et comme le recourant ne le conteste pas, de nombreux médecins pratiquants en Suisse maîtrisent, certes de façon individuelle, les différentes techniques de la médecine traditionnelle chinoise. Il faut donc bien admettre que la médecine traditionnelle chinoise ne représente pas une spécialisation particulière au sens de l'art. 91 al. 2 litt. b LSP. Le fait que le Dr A.________ soit capable de pratiquer dans tous les volets de cette médecine ne change, malheureusement pour lui, rien à cette appréciation. Il convient en plus de rappeler que la SVM, dans son préavis du 8 juin 1998 relatif à la demande d'autorisation qui avait alors été déposée par la B.________, s'était montrée sceptique sur la question de savoir si les aptitudes du recourant permettraient de favoriser un transfert des connaissances et de permettre un gain au niveau de la formation des médecins pratiquant dans le Canton de Vaud. b) Le législateur a avant tout désigné sous le vocable "maîtrise d'une technique non répandue en Suisse" l'art médical, non pas quant à la formation, mais uniquement s'agissant de la pratique (Arrêt GE 99/0125 précité). Or, et comme on l'a déjà rappelé sous lettre a) ci-dessus, les spécialistes de la médecine traditionnelle chinoise pratiquant en Suisse sont nombreux et ce même s'ils ne maîtrisent pas tous chacune des facettes de cet art. Ici également, le fait que le recourant les pratique toutes simultanément ne permet pas de considérer qu'il est un maître dans des techniques peu répandues, puisque le public a déjà la possibilité de trouver assez aisément des praticiens maîtrisant les différentes branches de la médecine traditionnelle chinoise. 8.                     Il résulte des considérants qui précèdent que le recours doit être rejeté, aux frais de son auteur débouté, lequel n'a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