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GE.1998.0145 vom 2. Februar 1999</w:t>
      </w:r>
    </w:p>
    <w:p>
      <w:r>
        <w:t>VD Tribunal cantonal, 1999-02-02, FR</w:t>
      </w:r>
    </w:p>
    <w:p>
      <w:r>
        <w:rPr>
          <w:b/>
        </w:rPr>
        <w:t xml:space="preserve">Quelle: </w:t>
      </w:r>
      <w:r>
        <w:t>https://mcp.opencaselaw.ch/entscheid/vd_omni_GE.1998.0145</w:t>
      </w:r>
    </w:p>
    <w:p>
      <w:r>
        <w:t>FR: VD_OMNI GE.1998.0145 du 2 février 1999</w:t>
      </w:r>
    </w:p>
    <w:p>
      <w:r>
        <w:t>IT: VD_OMNI GE.1998.0145 del 2 febbraio 1999</w:t>
      </w:r>
    </w:p>
    <w:p>
      <w:pPr>
        <w:pStyle w:val="Heading2"/>
      </w:pPr>
      <w:r>
        <w:t>Regeste</w:t>
      </w:r>
    </w:p>
    <w:p>
      <w:r>
        <w:t>c/ Président du Tribunal civil du district de Payerne | L'indemnité d'avocat d'office doit être calculée conformément au tarif des dépens, le prix de l'heure étant toutefois réduit à 160.--. Sauf élément concret permettant de les considérer comme excessifs, les débours doivent faire l'objet d'une indemnisation intégrale.</w:t>
      </w:r>
    </w:p>
    <w:p>
      <w:pPr>
        <w:pStyle w:val="Heading2"/>
      </w:pPr>
      <w:r>
        <w:t>Erwägungen</w:t>
      </w:r>
    </w:p>
    <w:p>
      <w:r>
        <w:rPr>
          <w:b/>
        </w:rPr>
        <w:t>E. 20</w:t>
      </w:r>
    </w:p>
    <w:p>
      <w:r>
        <w:t>février 1995; JAAC 60 (1996) No 72; ATF 123 V 135; 119 Ib 496, consid. 3; 107 Ib 133). Des exceptions sont toutefois possibles notamment lorsqu'un intérêt public essentiel exige qu'une norme soit appliquée dans toutes les procédures en cours lors de leur entrée en vigueur, y compris dans les procédures de recours (ATF 119 Ib 496; 112 Ib 39). Il en va de même s'il s'agit d'appliquer une loi de police destinée à protéger l'ordre public, car il serait absurde de délivrer une autorisation qui devrait être retirée instantanément (RDAF 1996 157). En matière de procédure, les nouvelles règles s'appliquent dès leur entrée en vigueur à toutes les causes qui sont encore pendantes (ATF 113 la 412; ATF 111 V 46, JAAC (1993) No 29; Grisel, Traité de droit administratif, 2ème éd., p. 1556). Les procédures de recours sont en revanche régies de façon particulière et leur sont applicables en principe les règles en vigueur à l'échéance du délai de recours courant dès la notification de la décision attaquable ou encore à la date de celle-ci, à moins que le droit procédural en vigueur lorsque le juge statue ne soit plus favorable au recourant, hypothèse non réalisée in casu (Tribunal administratif, arrêt AC 96/180 du 26 septembre 1996, et les références citées, notamment Moor, Droit administratif, vol. 1, 2ème éd., p. 171). L'application des principes résumés ci-dessus conduit donc à considérer qu'il appartient au Tribunal administratif de statuer sur le présent pourvoi, même si, sous l'angle du bon sens et de l'opportunité, il peut paraître absurde que le Tribunal administratif rende une décision qui demeurera par définition isolée et qui pourrait se référer à des principes que le Tribunal cantonal n'approuverait pas ultérieurement, ou contenir des considérants susceptibles d'être immédiatement contredits. 4.                     Conformément à la jurisprudence (ATF 109 la 107; 117 la 22), l'autorité chargée de fixer l'indemnité d'un avocat d'office dispose d'un très large pouvoir d'appréciation, étant admis que la rémunération peut être inférieure à celle du défenseur choisi (voir aussi ATF 118 la 133). Dans le cadre du contrôle judiciaire qu'exerce le Tribunal administratif, limité à la légalité à l'exclusion des questions d'opportunité (art. 36 LJPA), l'autorité de céans ne peut que vérifier si l'autorité de première instance n'a pas abusé de son pouvoir d'appréciation. Tel est le cas lorsque la décision repose sur une appréciation insoutenable des circonstances, qu'elle est inconciliable avec les règles du droit et de l'équité, qu'elle omet de tenir compte de tous les éléments de fait propres à fonder la décision, ou encore lorsqu'elle prend au contraire en considération des circonstances qui ne sont pas pertinentes (ATF 109 la 109 consid. 2a, et les réf. citées). 5.                     En l'espèce, la décision attaquée n'est pas motivée (ainsi que le prévoit expressément la loi, art. 17a al. 2 in fine LAJ) de sorte que le contrôle est particulièrement mal aisé, d'autant plus que la recourante n'a pas articulé de griefs précis, ce qui s'explique en tout cas en partie précisément par l'absence de toute motivation. Il apparaît toutefois que le juge intimé a fixé l'indemnité due à la recourante en application des articles 2 et 3 du tarif du 17 juin 1986 des honoraires d'avocat dus à titre de dépens (RSV 2.6.0) conformément à l'art. 1er al. 1 let. d du règlement du 3 juin 1988 d'exécution de la LAJ (RSV 2.8.0), et qu'il a ainsi réduit de 20% le montant obtenu (2'400 fr.). Or, on peut tirer du dossier que les opérations ont consisté en une conférence, une demande en justice et une requête de mesures provisionnelles, ainsi que dans le dépôt d'une convention (apparemment pas rédigée par la recourante elle- même). S'y ajoutent diverses correspondances et téléphones, mais il n'y a pas eu de participation à une ou des audiences. La recourante affirme avoir consacré 19 heures à l'affaire, ce qui est trop largement compté pour le tribunal, un ordre de grandeur d'une quinzaine d'heures paraissant plus conforme à la réalité. Même si on admet, conformément aux principes jurisprudentiels rappelés ci-dessus, que le tarif-horaire de l'avocat d'office doit être inférieur à celui de l'avocat de choix, l'indemnité allouée à la recourante (80% de 2'400 fr., soit 1'920 fr.) correspond à une rémunération de l'heure de moins de 130 fr. , ce qui est largement inférieur au tarif de 160 fr. de l'heure qui paraît correspondre à la pratique des tribunaux vaudois (voir à ce sujet la jurisprudence de la Cour de cassation pénale du Tribunal cantonal B./Erny du 3 mars 1995; F./Beyeler du 22 février 1996; R .I du 7 mai 1996). Dans la mesure où un tarif-horaire de 160 fr. tient compte d'un rabais substantiel par rapport au tarif normal des avocats, dont il représente à peu près le 50%, on ne peut pas opérer un abattement supplémentaire de 20%. Sur ce point, la décision du juge intimé relève d'un abus du pouvoir d'appréciation et doit être corrigée, en ce sens que l'indemnité est fixée à 2'400 fr. (15 heures à 160 fr. de l'heure). 6.                     En ce qui concerne les débours, le juge intimé n'a alloué qu'un montant de 55 fr. Or la recourante a produit une liste détaillée des débours (datée du 27 juillet 1998) se montant à 515.90 fr. Conformément à l'art. 2 du règlement d'application de la LAJ, on ne peut pas recourir à une indemnité forfaitaire, mais seulement réduire le cas échéant la somme réclamée lorsque des éléments concrets la font apparaître excessive. A cet égard, on peut certes exprimer des doutes quant à certains postes (près de 700 photocopies; téléphones estimés à 2 fr. en zone locale et à 4 fr. en zone interurbaine) mais, sur le principe, et conformément à la jurisprudence (ATF 117 la 22 déjà cité), on ne voit pas pourquoi la recourante n'aurait pas droit au remboursement de tous les débours qui s'inscrivent raisonnablement dans l'exécution de sa tâche d'avocat d'office. Renonçant, faute d'éléments lui permettant de le faire de manière fondée, à diminuer de quelques francs ou de quelques dizaines de francs les chiffres indiqués par la recourante, le tribunal allouera donc à cette dernière la totalité des débours revendiqués. 7.                     Il résulte de ce qui précède que la décision attaquée doit être réformée en ce sens que la recourante doit se voir allouer une indemnité d'avocat d'office de 2'400 fr. ainsi que le remboursement de ses débours par 515.90 fr., la TVA étant comprise dans ces montants. Dans la mesure où la recourante obtient gain de cause sur le principe, les frais judiciaires doivent être laissés à la charge de l'Etat. Intervenant dans sa propre cause elle n'a pas droit à des dépens si on se réfère à l'art. 10 du tarif du 17 juin 1986 des honoraires d'avocat dus à titre de dépens, solution qui n'est pas évidente en droit public. Mais, de toutes manières, la cause ne remplit pas les conditions justifiant une indemnité à titre de dépens (JAAC 60 (1996) N° 3, et les références citées, notamment Poudret, Commentaire OJF, rem. 1 ad art. 159).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