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GE.1998.0137 vom 6. Oktober 1999</w:t>
      </w:r>
    </w:p>
    <w:p>
      <w:r>
        <w:t>VD Tribunal cantonal, 1999-10-06, FR</w:t>
      </w:r>
    </w:p>
    <w:p>
      <w:r>
        <w:rPr>
          <w:b/>
        </w:rPr>
        <w:t xml:space="preserve">Quelle: </w:t>
      </w:r>
      <w:r>
        <w:t>https://mcp.opencaselaw.ch/entscheid/vd_omni_GE.1998.0137</w:t>
      </w:r>
    </w:p>
    <w:p>
      <w:r>
        <w:t>FR: VD_OMNI GE.1998.0137 du 6 octobre 1999</w:t>
      </w:r>
    </w:p>
    <w:p>
      <w:r>
        <w:t>IT: VD_OMNI GE.1998.0137 del 6 ottobre 1999</w:t>
      </w:r>
    </w:p>
    <w:p>
      <w:pPr>
        <w:pStyle w:val="Heading2"/>
      </w:pPr>
      <w:r>
        <w:t>Regeste</w:t>
      </w:r>
    </w:p>
    <w:p>
      <w:r>
        <w:t>Atelier d'architecture Ulysses Moriggi architecte et collaborateurs SA c/Municipalité du Mont-sur-Lausanne | Enseignes d'entreprise groupées en "totem". Calcul de la surface maximale de chaque enseigne.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admis par la municipalité, dont la décision devra être réformée en conséquence. 6.                     Le délai imparti par la municipalité à Hostettler Autotechnik SA pour ramener ses procédés de réclame à des dimensions conformes à la loi est aujourd'hui échu. Il convient dès lors d'en fixer un nouveau, qui peut être arrêté au 30 novembre 1999.</w:t>
      </w:r>
    </w:p>
    <w:p>
      <w:r>
        <w:rPr>
          <w:b/>
        </w:rPr>
        <w:t>E. 7</w:t>
      </w:r>
    </w:p>
    <w:p>
      <w:r>
        <w:t>Le recours étant partiellement admis, il convient de répartir l'émolument à raison d'un quart à charge de la Commune du Mont-sur-Lausanne et de trois quarts à charge des recourantes, qui succombent dans une large mesure. Les dépens pour les honoraires d'avocat de chacune des parties peuvent être arrêtés à 1'500 fr. et répartis de la même manière que l'émolument, de sorte que la commune a droit de la part des recourantes à un montant de 1'125 fr. et ces dernières, de la part de la commune, à un montant de 375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