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GE.1998.0116 vom 12. April 1999</w:t>
      </w:r>
    </w:p>
    <w:p>
      <w:r>
        <w:t>VD Tribunal cantonal, 1999-04-12, FR</w:t>
      </w:r>
    </w:p>
    <w:p>
      <w:r>
        <w:rPr>
          <w:b/>
        </w:rPr>
        <w:t xml:space="preserve">Quelle: </w:t>
      </w:r>
      <w:r>
        <w:t>https://mcp.opencaselaw.ch/entscheid/vd_omni_GE.1998.0116</w:t>
      </w:r>
    </w:p>
    <w:p>
      <w:r>
        <w:t>FR: VD_OMNI GE.1998.0116 du 12 avril 1999</w:t>
      </w:r>
    </w:p>
    <w:p>
      <w:r>
        <w:t>IT: VD_OMNI GE.1998.0116 del 12 aprile 1999</w:t>
      </w:r>
    </w:p>
    <w:p>
      <w:pPr>
        <w:pStyle w:val="Heading2"/>
      </w:pPr>
      <w:r>
        <w:t>Regeste</w:t>
      </w:r>
    </w:p>
    <w:p>
      <w:r>
        <w:t>c/DFJ | Les critiques du recourant à l'encontre de son examen final reflètent peut-être sa manière de voir les choses et sa conception personnelle d'organisation et d'appréciation des épreuves d'examens, mais ils ne se fondent nullement sur un texte réglementaire dont la violation pourrait être constatée foprmellement par le tribunal de céans.</w:t>
      </w:r>
    </w:p>
    <w:p>
      <w:pPr>
        <w:pStyle w:val="Heading2"/>
      </w:pPr>
      <w:r>
        <w:t>Erwägungen</w:t>
      </w:r>
    </w:p>
    <w:p>
      <w:r>
        <w:rPr>
          <w:b/>
        </w:rPr>
        <w:t>E. 18</w:t>
      </w:r>
    </w:p>
    <w:p>
      <w:r>
        <w:t>décembre 1989 sur la juridiction et la procédure administratives (LJPA) dispose que le recours s'exerce par écrit dans les vingt jours dès la communication de la décision attaquée. En l'occurrence, et contrairement à la première décision du Département du 12 février 1997, la notification est intervenue au domicile étranger de l'intéressé à une date connue, soit le 17 juillet 1998. Interjeté le 4 août 1998, le recours a donc été déposé en temps utile. Il est en outre recevable en la forme et le Tribunal administratif est compétent pour en connaître, conformément à l'art. 4 al. 1 LJPA. 2.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LJPA).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(sur tous ces points, cf. ATF 110 V 365 consid. 3b in fine; ATF 108 I B 205 consid. 4a). 3.                     Comme le tribunal de céans a déjà eu l'occasion de le juger à plusieurs reprises, dans le contexte très particulier du contrôle judiciaire du résultat d'un examen, il doit faire preuve d'une extrême retenue. Déterminer la capacité d'une personne à obtenir un grade universitaire ou à exercer une profession suppose des connaissances techniques, propres aux matières examinées. En tout état de cause, le tribunal s'abstient d'analyser les questions posées aux candidats et l'appréciation par les experts des réponses données (arrêts TA GE 1993/0089 du 20 avril 1994 et GE 1997/0051 du 31 octobre 1997). Cette jurisprudence ne s'écarte pas des principes définis par d'autres instances judiciaires (voir par exemple RDAF 1997, tome 1, p. 42). C'est ainsi que "le jury qui fait passer les examens universitaires dispose d'une certaine marge d'appréciation pour évaluer la prestation d'un candidat. La note qu'il attribue dépend de circonstances qu'il est le mieux à même d'apprécier." Le contrôle judiciaire doit dès lors se limiter à vérifier que le jury n'a pas excédé ou abusé de son pouvoir d'appréciation, soit à s'assurer qu'il ne s'est pas basé sur des considérations hors de propos ou de toute autre façon manifestement insoutenables (ATF 121 I 230; ATF 118 Ia 495; ATF 105 Ia 191). En d'autres termes, le choix et la formulation des questions, le déroulement de l'examen et surtout l'appréciation des connaissances scientifiques d'un étudiant relève avant tout du jury, particulièrement lorsqu'il s'agit d'une épreuve orale. En revanche, l'autorité judiciaire examine librement la régularité de la procédure et le respect des garanties tirées de l'art. 4 de la Constitution fédérale tels que le droit d'être entendu et les principes de la bonne foi, de la proportionnalité et de l'égalité de traitement (ATF 106 Ia 3). 4.                     a) Dans le cas présent, le recourant critique tout d'abord le fait que ses professeurs de politique d'entreprise, de marketing I et d'entreprise et technologies de l'information lui auraient clairement laissé entendre, quelques mois déjà avant la fin de l'année académique, qu'il échouerait à ses examens et qu'il n'obtiendrait pas son diplôme. Il estime que le résultat de ses examens était ainsi jugé d'avance, alors même que d'autres professeurs ont finalement considéré ses épreuves comme suffisantes (cf. notamment correspondance du professeur Alain Schärling du 13 janvier 1998). On relèvera d'emblée que ces critiques se rapportent à des faits antérieurs au premier examen de juillet 1996. Si, comme il le prétend, l'intéressé avait eu la certitude que certains de ses professeurs nourrissaient des préjugés négatifs à son égard et, partant, ne disposaient pas de toute l'objectivité nécessaire pour apprécier ses épreuves du premier examen, il aurait dû recourir contre la décision d'échec de juillet 1996. Or, il n'a nullement réagi à cet échec et s'est présenté sans réserve à l'examen final de septembre 1996 alors même que les experts étaient en partie les mêmes que ceux ayant fonctionné lors du premier examen. Dans ces conditions, on voit mal comment le recourant pourrait valablement remettre en cause aujourd'hui l'impartialité du jury pour des motifs se rapportant à des faits antérieurs à ceux faisant l'objet du présent litige et non contestés en temps utile. L'intéressé n'affirme en tout cas pas n'avoir appris les prétendues intentions malveillantes des experts à son égard qu'au moment de son examen final en septembre 1996. b) X.________ s'en prend ensuite au projet de consultance (consacré à l'impact économique du CIO et du Musée olympique sur la ville de Lausanne) qui aurait été établi en deux versions, l'une interne à la faculté des HEC, dans laquelle sa participation aurait été reconnue et pour laquelle il aurait obtenu une excellente note (10), et l'autre, externe à l'université, dans laquelle sa participation n'apparaît pas (cf. première page du rapport produit par le recourant le 3 août 1998). Il en déduit que l'université de Lausanne a caché la vérité et manipulé les résultats de l'étude en cause pour satisfaire des besoins en relations publiques, au mépris de sa personnalité, des lois universitaires et de la démocratie. Ces griefs sont à nouveau irrelevants dans le cadre du présent recours. En effet, les éventuelles irrégularités ayant entaché la diffusion du rapport de consultance auraient dû être contestées par le recourant dès sa publication, soit en juillet 1996. De plus, si comme le prétend l'intéressé, les professeurs avaient voulu le faire échouer pour de tels motifs, il aurait dû à nouveau s'en prévaloir en attaquant son échec au premier examen de juillet 1996. c) X.________ conteste encore l'appréciation de son examen final par le jury. Selon lui, les termes utilisés par ce dernier pour qualifier son travail écrit ("rapport technique et descriptif, beaucoup d'éléments mais pas de synthèse et peu de justification, surprenante qualité de la langue française") sont des généralités qui ne prouvent rien. Il exige que le tribunal se fonde sur des " données objectives, concrètes et mesurables en ce qui concerne l'évaluation de mon son rapport écrit à l'examen final" et demande à cet effet une nouvelle évaluation de son travail et de celui de divers collègues par d'autres professeurs de l'université. Il souhaite également que ces derniers comparent son travail de juillet 1996 avec celui de septembre 1996. Le recourant  requiert en d'autres termes la mise en oeuvre d'une expertise. Or une telle mesure d'instruction ne saurait entrer en ligne de compte dans une procédure de recours devant une autorité judiciaire, conformément aux principes exposés ci-dessus (cf. chiffre 3, p. 7), puisqu'il s'agit précisément d'apprécier l'adéquation de la note contestée à la valeur réelle des prestations du candidat. On rappellera une fois encore que lorsqu'ils procèdent à l'appréciation du travail d'un étudiant, les professeurs agissent dans le cadre de leur liberté académique, certes limitée par les principes de l'activité administrative. En l'occurrence, rien ne permet de conclure que le jury aurait violé d'une manière ou d'une autre les principes susmentionnés. d) Le recourant allègue également l'absence d'analyse et de correction de son rapport écrit par le jury et prétend n'avoir jamais reçu son travail corrigé. Le Département ne s'est pas déterminé sur ce point. De son côté, le rectorat affirme que le travail écrit de l'intéressé, annoté de la main du Professeur Léonard, lui a été adressé par la poste. En présence de versions contradictoires, le tribunal ne peut, faute de preuve, déterminer si ce document a effectivement été transmis à l'intéressé. Peu importe en définitive, puisque X.________ a en tout cas reçu, par l'intermédiaire du tribunal, copie dudit rapport produit par le rectorat en cours de procédure (cf. envoi du 15 février 1999 transmis au recourant le 17 février 1999). Il ressort de cette pièce que celle-ci est annotée de nombreuses remarques manuscrites, qui sont nettement plus développées que celles retenus par le jury pour qualifier l'examen final. Il en résulte que, contrairement aux affirmations du recourant, son travail écrit a été consciencieusement examiné et que son grief ne peut donc qu'être écarté. e) Le recourant conteste enfin la manière dont se serait déroulée la partie orale de l'examen final. Il affirme en substance que l'épreuve n'aurait duré que cinq minutes au lieu des vingt minutes prévues. Or le règlement applicable à l'examen en cause n'indique nullement le temps minimum que doit durer l'interrogation; il mentionne uniquement une défense orale devant un collège d'au moins trois professeurs (art. 6 règlement). Le déroulement de cette épreuve, soit notamment sa durée, relève donc à nouveau d'un domaine dans lequel le Tribunal administratif ne peut pas intervenir. 5.                     En conclusion, les critiques de l'intéressé à l'encontre de son examen final reflètent peut-être sa manière de voir les choses et sa conception personnelle d'organisation et d'appréciation des épreuves d'examens, mais ils ne se fondent nullement sur un texte réglementaire dont la violation pourrait être constatée formellement par le tribunal de céans. Cela étant, le recours est en tous points mal fondé et il doit être rejeté aux frais du recourant débouté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