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GE.1998.0008 vom 31. März 1998</w:t>
      </w:r>
    </w:p>
    <w:p>
      <w:r>
        <w:t>VD Tribunal cantonal, 1998-03-31, FR</w:t>
      </w:r>
    </w:p>
    <w:p>
      <w:r>
        <w:rPr>
          <w:b/>
        </w:rPr>
        <w:t xml:space="preserve">Quelle: </w:t>
      </w:r>
      <w:r>
        <w:t>https://mcp.opencaselaw.ch/entscheid/vd_omni_GE.1998.0008</w:t>
      </w:r>
    </w:p>
    <w:p>
      <w:r>
        <w:t>FR: VD_OMNI GE.1998.0008 du 31 mars 1998</w:t>
      </w:r>
    </w:p>
    <w:p>
      <w:r>
        <w:t>IT: VD_OMNI GE.1998.0008 del 31 marzo 1998</w:t>
      </w:r>
    </w:p>
    <w:p>
      <w:pPr>
        <w:pStyle w:val="Heading2"/>
      </w:pPr>
      <w:r>
        <w:t>Regeste</w:t>
      </w:r>
    </w:p>
    <w:p>
      <w:r>
        <w:t>MOBUTU Manda et Nzanga Fangbi | Le recours à l'autorité de surveillance en matière de registre foncier est recevable si les voies judiciaires (CC-975 à CC-977) ne sont pas ouvertes. Rejet du recours, le conservateur ne pouvant revoir le blocage de la villa Mobutu à Savigny ordonné par le Conseil fédéral. Selon cette ordonnance, le blocage était subsidiaire à celui de l'entraide judiciaire internationale, déjà inscrit 5 jours avant, mais l'objectif poursuivi jusitifait la seconde inscription pour le cas de levée du blocage pénal.</w:t>
      </w:r>
    </w:p>
    <w:p>
      <w:pPr>
        <w:pStyle w:val="Heading2"/>
      </w:pPr>
      <w:r>
        <w:t>Erwägungen</w:t>
      </w:r>
    </w:p>
    <w:p>
      <w:r>
        <w:rPr>
          <w:b/>
        </w:rPr>
        <w:t>E. 30</w:t>
      </w:r>
    </w:p>
    <w:p>
      <w:r>
        <w:t>jours devant l'autorité cantonale de surveillance. Le même délai est applicable pour le recours en seconde instance cantonale. En cas de recours, l'autorité de surveillance décide dans le plus bref délai possible si le conservateur doit donner suite à la réquisition incriminée en procédant à l'inscription. Contre les décisions prises en dernière instance cantonale, un recours de droit administratif peut être adressé au Tribunal fédéral dans les trente jours. Art. 104 ORF Toute personne touchée par une décision du conservateur qui n'a pas pour objet le rejet d'une réquisition peut recourir dans les 30 jours devant l'autorité cantonale de surveillance. Un recours peut être interjeté en tout temps pour déni de justice ou retard injustifié dans l'accomplissement d'un acte officiel. A ces dispositions fédérales correspond l'art. 25 de la loi vaudoise du 23 mai 1972 sur le registre foncier (LVRF): Art. 25 Rejet de réquisition et recours Les décisions du conservateur écartant une réquisition ou relatives à la non-réinscription d'un droit dans la procédure d'introduction du registre foncier fédéral sont notifiées aux intéressés par pli recommandé avec l'indication des motifs et du délai de recours. Toutes les décisions du conservateur du registre foncier peuvent faire l'objet d'un recours, dans un délai de trente jours, par acte écrit et motivé adressé au Département des finances (art. 103 ORF). En cas de besoin, le Département des finances peut ordonner l'annotation d'une restriction du droit d'aliéner jusqu'à droit connu. Les dispositions fédérales et cantonales citées ci-dessus pourraient s'interpréter littéralement en ce sens que toutes les décisions du conservateur peuvent être contestées devant l'autorité de surveillance par la voie d'un recours (malgré le terme de "plainte" utilisé par l'art. 956 al. 2 CC, il s'agit bien de recours, "Beschwerde" dans le texte allemand). Il faut néanmoins s'en tenir à la règle jurisprudentielle que le Tribunal fédéral a tirée de la teneur de l'art. 956 CC, qui est la seule disposition fédérale de rang légal citée ci-dessus: l'autorité cantonale de surveillance ne peut statuer sur recours que si la loi ne prescrit pas la voie judiciaire; il s'agit d'éviter que l'autorité de surveillance n'empiète sur les prérogatives que la loi réserve au juge (ATF 102 Ib 13, consid. 3 in fine; ATF 98 Ia 186; ATF 86 I 120 consid. 1; ATF 68 I 124 consid. 1). Comme le relève le dernier de ces arrêts, l'art. 956 al. 2 CC exclut le recours à l'autorité de surveillance dans la mesure où un recours judiciaire est prévu; une telle voie judiciaire est prévue: -   par l'art. 975 CC pour les inscriptions irrégulières intervenues sans cause légitime (c'est-à-dire sans que soient réalisées les conditions matérielles de l'opération, pour cause d'invalidité du titre d'acquisition et/ou de la réquisition d'inscription, v. ATF 117 II 44 consid. 4b). -   par l'art. 977 CC, qui vise les inscriptions opérées "par mégarde" (art. 98 al. 1 ORF) ayant pour conséquence que l'inscription effectuée ne correspond pas, par suite d'une inadvertance du conservateur, à la situation juridique révélée par les pièces justificatives (même arrêt) : pour ces "rectifications", le conservateur ne peut rectifier sans autre formalité que s'il constate immédiatement l'inexactitude, tandis que si les intéressés ou des tiers en ont eu connaissance, il ne peut, à moins d'obtenir le consentement des intéressés, procéder à la rectification qu'après avoir obtenu du juge qu'il l'ordonne (art. 98 al. 3 et 4 ORF). Seules échappent à l'exigence d'une décision judiciaire la rectification des simples erreurs d'écriture (art. 977 al. 3 CC) que le conservateur peut effectuer de son chef si elles ne touchent pas à la consistance même du droit à inscrire (art. 99 ORF). On précisera encore que l'art. 975 CC donne lieu à une action civile (la doctrine parle d'action en rectification, voir par exemple Steinauer, Les droits réels, tome 1 er , III ème éd. 1997, p. 267 N o 979 ss) où la qualité pour agir appartient au titulaire du droit réel lésé, la qualité pour défendre appartenant à tous ceux qui tirent avantage, directement ou non, de l'opération indue (Steinauer, op. cit., N o 984 ss). Quant à la procédure de rectification du registre foncier selon les art. 977 CC et 98 ORF, elle relève dans le canton de Vaud de la compétence du président du Tribunal de district (art. 34 LVRF) mais il s'agit néanmoins non pas d'une contestation civile, mais d'un litige administratif dans le cadre duquel la décision cantonale de dernière instance peut faire l'objet d'un recours de droit administratif au Tribunal fédéral (ATF 123 III 346). 3.                     En l'espèce, les recourants contestent le prononcé d'irrecevabilité de l'autorité intimée. Ils exposent brièvement que la voie judiciaire de l'art. 975 CC n'est pas ouverte. Ils font surtout valoir qu'ils ignoraient et n'ont pas eu la possibilité de contester le blocage des parcelles litigieuses avant de recevoir l'avis du conservateur du registre foncier et ils soutiennent en bref que seule la voie du recours des art. 102 ss ORF leur est ouverte pour faire constater l'inopportunité, l'illégalité et l'inconstitutionnalité de la mesure et de l'ordonnance du Conseil fédéral. Ils font en outre valoir, à titre de "moyens quant à l'inconstitutionnalité et à l'illégalité de la décision du Conseil fédéral", que, entre autre, l'ordonnance du Conseil fédéral fondée sur l'art. 102 ch. 8 Cst serait contraire au principe de la proportionnalité pour le motif que les avoirs de la famille Mobutu font déjà l'objet d'une demande d'entraide internationale en matière pénale déposée par la nouvelle République démocratique du Congo. a)                     Comme cela résulte a contrario de l'art. 956 al. 2 CC et de la jurisprudence y relative, le recours à l'autorité de surveillance demeure ouvert à la condition qu'aucune voie de droit ne soit ouverte auprès d'un juge désigné par la loi. Il convient de déterminer si l'une des voies de droit prévues par les art. 975 à 977 CC est ouverte aux recourants. aa)                   Il faut admettre tant avec les recourants qu'avec l'autorité intimée que l'action en rectification du registre foncier de l'art. 975 CC n'est pas ouverte. On voit mal contre qui elle pourrait être dirigée (qualité pour défendre, voir ci-dessus) dès lors que le blocage n'a pas pour effet de conférer un droit à des tiers. En outre, la doctrine paraît exclure l'action en rectification de l'art. 975 CC pour ce qui concerne les mentions (Steinauer, No 953a; Deschenaux, Traité de droit privé suisse, V, II, 2, p. 664 et note 13), pour le motif précisément qu'elles ne sont ni constitutives ni déclaratives d'un effet réel. bb)                   Il en va de même pour ce qui concerne la procédure de rectification de l'art. 977 CC. On ne saurait en effet considérer que le conservateur a procédé à l'inscription "par mégarde" au sens de l'art. 98 ORF, c'est-à-dire qu'il a procédé à une inscription qui ne correspond pas aux pièces justificatives. Il était en effet expressément requis par l'Office fédéral, chargé d'exécuter le blocage (art. 5 al. 2 de l'ordonnance), de procéder à l'inscription et rien n'indique qu'il ait commis une inadvertance ni même qu'il ait eu le moindre doute sur l'inscription à opérer. Au reste, ici également, on ne voit pas qui seraient les tiers que le juge devrait interpeller selon l'art. 98 al. 3 ORF. La voie judiciaire de l'art. 977 CC n'est pas ouverte. b)                     S'agissant d'une inscription opérée sur la base d'une décision administrative, on peut se demander si l'existence d'une voie de droit devant la juridiction administrative serait susceptible d'exclure le recours à l'autorité de surveillance. Un telle conclusion ne pourrait pas se fonder sur l'ATF 68 I 124 déjà cité, qui n'envisage comme "voie judiciaire" au sens de l'art. 956 CC que les actions des art. 975 à 977 CC. Il y a donc lieu de considérer que pour que le recours à l'autorité de surveillance soit recevable, il suffit que les voies judiciaires des art. 975 et 977 CC ne soient pas ouvertes. 4.                     Les voies judiciaires des art. 975 et 977 CC n'étant pas ouvertes, c'est à tort que la décision attaquée a déclaré le recours irrecevable:  on ne se trouve pas dans un cas où "la loi prescrit la voie judiciaire" au sens de l'art. 956 CC. Il y a donc lieu d'entrer en matière sur le recours. 5.                     Les recourants qualifient d'inutile (ce qui revient à invoquer une violation du principe de la proportionnalité) l'ordonnance du Conseil fédéral pour le motif que les avoirs de la famille Mobutu font déjà l'objet d'une demande d'entraide internationale en matière pénale déposée par la nouvelle République démocratique du Congo. En principe, le Tribunal ne saurait entrer en matière sur ce grief en tant qu'il est dirigé contre l'ordonnance du Conseil fédéral ou contre un acte de l'Office fédéral. En effet, le Tribunal administratif ne connaît sur recours que des décisions communales ou cantonales (art. 4 al. 1 LJPA). A supposer qu'il s'agisse de procéder à un contrôle préjudiciel de la validité de cette ordonnance, le tribunal considère que c'est à juste titre que la décision de Département cantonal des Finances a examiné le recours en considérant qu'il posait la question du pouvoir d'examen du conservateur. Il faut donc définir ce pouvoir d'examen. a)                     Le contrôle du conservateur porte avant tout sur l'observation des formes auxquelles la validité de l'acte est subordonnée. Son pouvoir d'examen s'étend aussi aux questions de fond dont le conservateur peut contrôler facilement la réalisation (Steinauer, no 849). Il ne peut que vérifier par exemple si l'acte n'est pas manifestement nul pour cause d'illicéité (Steinauer, no 849). Quand la réquisition émane d'une autorité (art. 17 ORF), le conservateur peut examiner si l'autorité était compétente et si elle contient les indications nécessaires pour l'inscription. En revanche, il n'a pas à revoir la décision quand au fond (Steinauer, no 849; Deschenaux p. 430). Il doit encore vérifier si la décision est passée en force comme acte administratif (Deschenaux, p. 430). Comme l'a jugé le Tribunal fédéral dans l'arrêt ATF 119 II 16, JT 1995 I 121, le conservateur ne rejette une réquisition que si celle-ci est basée sur un titre manifestement nul. Lorsqu'une réquisition se fonde sur une décision judiciaire, le conservateur ne recherche pas si le prononcé judiciaire était bien fondé au regard du droit de fond. Il peut en revanche refuser l'inscription s'il ressort clairement du prononcé que les éléments du droit à inscrire ne sont manifestement pas réunis. En l'espèce, l'Ordonnance du Conseil fédéral du 17 mai 1997 vise de manière précise les avoirs de la famille Mobutu qui se trouvent en Suisse ou sont administrés depuis la Suisse, dont nul ne peut disposer. Il s'agit d'une décision collective ("Allgemeinverfügung"), qui se caractérise par le fait qu'elle concerne des destinataires en nombre indéterminé ou indéterminable (tout détenteur des avoirs de la famille du propriétaire, mais dans une situation individuelle et concrète (les avoirs de la famille ), portant sur un objet déterminé, à raison duquel sont fixés les droits et obligations d'un nombre inconnu de destinataires (Moor, droit administratif, volume II p. 117; ATF 101 Ia 73); la circulaire de l'Office fédéral n'en constitue qu'un acte d'exécution (cf art. 5 de l'ordonnance), non susceptible comme tel de recours. Aucune voie de recours n'étant ouverte contre la décision du Conseil fédéral, celle-ci était immédiatement exécutoire. Le conservateur du registre foncier ne pouvait dès lors que se fonder sur cette décision, qu'il ne pouvait revoir sur le fond. b)                     Enfin, à supposer même que le conservateur ait eu un quelconque pouvoir d'examen, pour revoir à titre incident la constitutionnalité de l'ordonnance, il n'aurait pu de toute manière sanctionner que le cas d'inconstitutionnalité manifeste. Ce vice n'est pas réalisé en l'espèce. En effet, le Conseil fédéral peut édicter des ordonnances sans base légale formelle, directement sur la base des art. 102 ch. 8 - 10 Cst en matière d'affaires étrangères et de sécurité interne ou externe de la Suisse. Ces prescriptions doivent être nécessaires, urgentes, justifiées par un intérêt public prépondérant et proportionnelles. Elles ne doivent pas être en contradiction avec les normes adoptées par l'Assemblée fédérale, respecter les principes d'égalité de traitement et de bonne foi. Elles doivent être en principe limitées dans le temps. Si la situation perdure, une base légale suffisante dans une loi formelle doit être créée (ATF 122 IV 258 et 123 IV 2, concernant l'ordonnance sur l'acquisition et le port d'armes à feu par des ressortissants yougoslaves). En l'espèce, la question du blocage des avoirs de chefs d'état étrangers s'est, comme le rappelle les recourants, déjà posée notamment au sujet des Philippines en rapport avec le président Marcos (un blocage a été ordonné), et avec l'Iran, s'agissant du Shah (il n'y a pas eu de blocage). Que cette question puisse à son tour se poser en relation avec le Zaïre n'a rien d'extraordinaire. Cette constatation suffit et il est évident que la question de savoir comment le Conseil fédéral devait la résoudre relève de considérations d'opportunité qui échappent au contrôle de l'autorité administrative. Il n'y avait donc manifestement pas matière, pour le conservateur, à mettre en doute la validité de l'ordonnance du Conseil fédéral. 6.                     Le moyen que les recourants tirent du fait que les avoirs de la famille du propriétaire font déjà l'objet d'une demande d'entraide internationale en matière pénale déposée par la nouvelle République démocratique du Congo doit aussi être examiné en relation avec l'art. 6 de l'ordonnance du Conseil fédéral, qui instaure une clause de subsidiarité qui a pour effet de faire échapper à ladite ordonnance (sauf pour l'obligation de déclarer - les avoirs qui font l'objet d'une mesure de blocage en relation avec une procédure d'entraide judiciaire. L'instruction a permis d'établir, contrairement à ce que paraît considérer la circulaire de l'Office fédéral et la décision du Département cantonal des Finances, que le premier blocage du 16 mai 1997 sous N o 177'335 concerne réellement une procédure d'entraide judiciaire. Cela résultait d'ailleurs clairement de l'avis du conservateur du 23 mai 1997 et des pièces qu'il avait eues en mains pour procéder à ce premier blocage. On peut donc se demander si le conservateur n'a pas méconnu la clause de subsidiarité de l'art. 6 de l'ordonnance du Conseil fédéral qui paraissait ne pas pouvoir s'appliquer "aux avoirs tant que ceux-ci font l'objet (...) d'une mesure de blocage en relation avec une procédure d'entraide judiciaire". Sur ce point, l'Office fédéral admet dans ses observations du 19 mars 1998 qu'il était inexact d'affirmer, comme l'a fait sa circulaire, que le blocage du registre foncier fondé sur la procédure pénale fédérale avait un effet autonome par rapport à l'ordonnance du Conseil fédéral. Il expose qu'en réalité, l'ordonnance du conseil fédéral avait un caractère subsidiaire et ne s'appliquait qu'aux cas où les mesures fondées sur la procédure pénale seraient abolies. L'Office fédéral précise également qu'il n'était pas possible de prévoir, au moment de la mise en vigueur de l'ordonnance du Conseil fédéral, si les mesures de blocage de la procédure pénale pourraient être exécutées avec succès, les recourants ayant d'ailleurs recouru jusqu'au Tribunal fédéral contre ces mesures ordonnées en vertu de la procédure pénale fédérale. Après en avoir délibéré, le Tribunal administratif juge que l'objectif poursuivi par l'ordonnance du Conseil fédéral ne pouvait effectivement être atteint qu'à la condition qu'un blocage soit réellement inscrit et maintenu sur les parcelles concernées. Ce but n'aurait pas été atteint si le conservateur du registre foncier avait dû renoncer à inscrire le blocage prévu par l'ordonnance du Conseil fédéral car cela aurait créé, au cas où le blocage fondé sur la procédure pénale aurait été levé, le risque d'un défaut de continuité entre le moment de cette levée et celui où, par l'effet de la clause de subsidiarité de l'art. 6 de l'ordonnance, un autre blocage fondé sur cette dernière aurait été alors inscrit sur les parcelles. C'est donc à juste titre qu'un blocage a été inscrit sur les parcelles litigieuses nonobstant l'inscription, quelques jours auparavant, d'un autre blocage fondé sur l'entraide judiciaire. Comme le précise l'Office fédéral dans ses observations, les recourants ont la possibilité d'exiger du registre foncier la radiation de la mention litigieuse s'ils prouvent qu'un jugement ou une décision passée en force a prononcé pour une durée indéterminée le blocage du registre foncier sur la base de la procédure pénale fédérale et que la mention fondée sur l'ordonnance du Conseil fédéral est par conséquent devenue caduque. L'Office observe cependant à juste titre qu'une telle requête n'a pas été présentée et que son issue sort de toute manière de l'objet du litige de la présente cause. 7.                     Vu ce qui précède, le recours doit être très partiellement admis en tant qu'il conteste avec succès le prononcé d'irrecevabilité de la décision attaquée. Il est en revanche entièrement rejeté sur le fond car les conclusions des recourants tendant à ce que l'inscription de la mention de blocage soit annulée sont rejetées. Le sort matériel du recours justifie ainsi qu'un émolument soit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