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GE.1997.0174 vom 12. April 1999</w:t>
      </w:r>
    </w:p>
    <w:p>
      <w:r>
        <w:t>VD Tribunal cantonal, 1999-04-12, FR</w:t>
      </w:r>
    </w:p>
    <w:p>
      <w:r>
        <w:rPr>
          <w:b/>
        </w:rPr>
        <w:t xml:space="preserve">Quelle: </w:t>
      </w:r>
      <w:r>
        <w:t>https://mcp.opencaselaw.ch/entscheid/vd_omni_GE.1997.0174</w:t>
      </w:r>
    </w:p>
    <w:p>
      <w:r>
        <w:t>FR: VD_OMNI GE.1997.0174 du 12 avril 1999</w:t>
      </w:r>
    </w:p>
    <w:p>
      <w:r>
        <w:t>IT: VD_OMNI GE.1997.0174 del 12 aprile 1999</w:t>
      </w:r>
    </w:p>
    <w:p>
      <w:pPr>
        <w:pStyle w:val="Heading2"/>
      </w:pPr>
      <w:r>
        <w:t>Regeste</w:t>
      </w:r>
    </w:p>
    <w:p>
      <w:r>
        <w:t>c/Municipalité de Lutry | Affecté à l'activité administrative, l'orgue d'une église communale peut être mis à la disposition de particuliers à certaines conditions.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Cst., dont sont déduits le droit d'être entendu et l'interdiction de l'arbitraire, lui imposant de motiver sa décision de façon à permettre à son destinataire de se déterminer en connaissance de cause sur l'opportunité d'un recours (ATF 123 I 34, consid. 2c; Moor, II, p. 197). On ne voit pas que ce défaut de motivation ait été guéri en instance de recours puisque l'autorité intimée, pourtant invitée par lettres du juge instructeur des 2 et 10 mars 1998 à donner la justification susmentionnée, s'est bornée à confirmer qu'elle avait limité le nombre de personnes autorisées, non sans indiquer qu'elle ignorait tout des aptitudes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