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GE.1996.0120 vom 11. April 1997</w:t>
      </w:r>
    </w:p>
    <w:p>
      <w:r>
        <w:t>VD Tribunal cantonal, 1997-04-11, FR</w:t>
      </w:r>
    </w:p>
    <w:p>
      <w:r>
        <w:rPr>
          <w:b/>
        </w:rPr>
        <w:t xml:space="preserve">Quelle: </w:t>
      </w:r>
      <w:r>
        <w:t>https://mcp.opencaselaw.ch/entscheid/vd_omni_GE.1996.0120</w:t>
      </w:r>
    </w:p>
    <w:p>
      <w:r>
        <w:t>FR: VD_OMNI GE.1996.0120 du 11 avril 1997</w:t>
      </w:r>
    </w:p>
    <w:p>
      <w:r>
        <w:t>IT: VD_OMNI GE.1996.0120 del 11 aprile 1997</w:t>
      </w:r>
    </w:p>
    <w:p>
      <w:pPr>
        <w:pStyle w:val="Heading2"/>
      </w:pPr>
      <w:r>
        <w:t>Regeste</w:t>
      </w:r>
    </w:p>
    <w:p>
      <w:r>
        <w:t>RIVE CLAIRE SA c/Municipalité de Nyon | Ne constitue pas une décision sujette à recours le changement de nom d'une rue.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 la loi sur les communes, et que cette autorité n'avait pas abusé de son pouvoir d'appréciation (Conseil d'Etat du canton de Vaud R9 982/89; R9 302/89; R9 302/81).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