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GE.1995.0066 vom 1. September 1995</w:t>
      </w:r>
    </w:p>
    <w:p>
      <w:r>
        <w:t>VD Tribunal cantonal, 1995-09-01, FR</w:t>
      </w:r>
    </w:p>
    <w:p>
      <w:r>
        <w:rPr>
          <w:b/>
        </w:rPr>
        <w:t xml:space="preserve">Quelle: </w:t>
      </w:r>
      <w:r>
        <w:t>https://mcp.opencaselaw.ch/entscheid/vd_omni_GE.1995.0066</w:t>
      </w:r>
    </w:p>
    <w:p>
      <w:r>
        <w:t>FR: VD_OMNI GE.1995.0066 du 1 septembre 1995</w:t>
      </w:r>
    </w:p>
    <w:p>
      <w:r>
        <w:t>IT: VD_OMNI GE.1995.0066 del 1 settembre 1995</w:t>
      </w:r>
    </w:p>
    <w:p>
      <w:pPr>
        <w:pStyle w:val="Heading2"/>
      </w:pPr>
      <w:r>
        <w:t>Regeste</w:t>
      </w:r>
    </w:p>
    <w:p>
      <w:r>
        <w:t>J.-P. LAUFFER SA c/ Montreux | Monopole des installations intérieures de gaz conféré à CICG SA par convention de 1963 avec communes (district de Vevey): conformité avec LCI réservée (monopole de police ou d'intérêt public) mais absence de base légale faute d'approbation par le Conseil d'Etat selon LC-94; pas de droit coutumier non plus</w:t>
      </w:r>
    </w:p>
    <w:p>
      <w:pPr>
        <w:pStyle w:val="Heading2"/>
      </w:pPr>
      <w:r>
        <w:t>Erwägungen</w:t>
      </w:r>
    </w:p>
    <w:p>
      <w:r>
        <w:rPr>
          <w:b/>
        </w:rPr>
        <w:t>E. 28</w:t>
      </w:r>
    </w:p>
    <w:p>
      <w:r>
        <w:t>février 1956 sur les communes (LC) a la teneur suivante : "Les communes sont tenues d'avoir un règlement de police et les règlements imposés par la législation cantonale. Elles peuvent avoir d'autres règlements, notamment sur le fonctionnement des autorités et de l'administration communale. Le règlement de police n'a force de loi qu'après avoir été approuvé par le Conseil d'Etat. Il en est de même des règlements ou dispositions de règlements qui confèrent des droits ou imposent des obligations aux autorités ou aux particuliers les uns à l'égard des autres." La municipalité intimée fait valoir dans sa réponse du 18 août 1995 que la convention a été ratifiée par les conseils communaux des communes concernées et signées par leur municipalité respective. Il n'en reste pas moins que ni la convention dans son entier, ni celles de ses dispositions qui confèrent des droits ou imposent des obligations aux autorités ou aux particuliers n'ont été soumises à l'approbation du Conseil d'Etat pourtant exigée par l'art. 94 cité ci-dessus. Force est donc de constater qu'en vertu de l'art. 94 LC, les dispositions de la convention du 29 juin 1963 n'ont pas force de loi. L'absence de base légale rend ainsi inopposable aux tiers le monopole litigieux, quelle que soit la nature (de police ou d'intérêt public) qu'on lui prête. Il n'y a donc pas lieu d'examiner plus avant la question de la compatibilité du monopole litigieux avec la liberté du commerce et de l'industrie. 7.                     Les intimées soutiennent qu'on ne saurait mettre un terme abrupt à un régime qui dure depuis 130 ans. C'est cependant à juste titre que les intimées n'invoquent pas l'existence d'un droit coutumier pour justifier le monopole litigieux. Le droit coutumier, que la Constitution vaudoise ne connaît qu'en rapport avec l'exercice de la religion catholique (art. 13 al. 5 Cst. VD), est certes admis comme source du droit public, du moins pour autant qu'il existe une lacune du droit écrit et qu'on soit en présence de la nécessité inéluctable de la combler (ATF 104 Ia 305). La doctrine admet même que le droit coutumier pourrait constituer une base suffisante pour une restriction de la liberté du commerce et de l'industrie (Sutter-Somm, op. cit., p. 121 s. et les références en note 96). Toutefois, on ne saurait laisser les intimées invoquer l'existence d'un droit coutumier alors que la période de 130 ans dont elles se prévalent est pour le moins interrompue par l'entrée en vigueur, le 1er juillet 1956, de l'art. 94 LC. Cette disposition avait en effet pour objet de soumettre à l'approbation le Conseil d'Etat les règlements communaux qui confèrent des droits ou imposent des obligations aux autorités ou aux particuliers les uns à l'égard des autres, alors que la loi précédente ne prévoyait cette approbation qu'à l'endroit des règlements de police (BGC août-septembre 1955 p. 828 s.). Dans ces conditions, il est évident que la convention du 29 juin 1963, ou du moins celles de ses dispositions qui étaient destinées à sortir des effets à l'endroit des particuliers, auraient dû être soumises pour approbation au Conseil d'Etat. Le fait que cette approbation n'ait pas été requise et qu'apparemment, il n'ait pas été prévu de la requérir au sujet de la nouvelle convention destinée à entrer en vigueur en 1997 (dont l'art. 1 prévoit désormais expressément le monopole litigieux sur le domaine privé également) exclut que l'on puisse considérer que les intimées auraient en quelque sorte usucapé l'approbation du Conseil d'Etat. Au reste, il est douteux que l'on puisse reconnaître à la convention du 29 juin 1963 la convictio juris qui caractérise le droit coutumier si l'on considère les fortes résistances auxquelles la disposition litigieuse de la nouvelle convention s'est heurtée, tant devant les législatifs communaux qu'au sein de la profession des installateurs sanitaires. 7.                     La recourante conclut à titre principal à la nullité, subsidiairement à l'annulation de l'art. 9 première partie de la convention du 29 juin 1963. Cette conclusion ne saurait être admise car le Tribunal administratif peut seulement constater que la disposition en question ne peut pas être opposée à la recourante puisqu'elle n'a pas, faute d'approbation par le Conseil d'Etat, force de règlement communal. Il en résulte que la décision attaquée doit simplement être annulée. On rappellera à cet égard que le présent arrêt laisse ouverte la question de l'admissibilité du monopole litigieux au regard de la liberté du commerce et de l'industrie et que cette question paraît devoir être tranchée par le Conseil d'Etat, l cas échéant, dans l'hypothèse où les prescriptions litigieuses lui seraient soumises pour approbation au sens de l'art. 94 de la loi sur les communes. En revanche, le Tribunal n'a pas la compétence d'invalider en l'espèce les engagements souscrits entre elles par les parties à la convention du 29 juin 1963. On ne peut pas admettre non plus sans autre la conclusion III de la recourante qui tend à la réforme de la décision attaquée en ce sens que la recourante est en droit d'exécuter les travaux qui lui ont été adjugés par SI Mayor Vautier SA. En effet, les compétences que la commune peut tirer des art. 126 et 127 LATC et de l'art. 67 lit. c LATC demeurent réservées. Enfin, la conclusion subsidiaire de la recourante en paiement de 50'000 francs doit de toute manière être déclarée irrecevable en raison de l'art. 1 al. 3 LJPA. 8.                     Le recours étant partiellement admis, la recourante ne supportera qu'un émolument réduit. Assistée d'un avocat, elle a droit à des dépens partiels, à charge des intimées solidairement entre elles.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