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GE.1992.0140 vom 24. März 1993</w:t>
      </w:r>
    </w:p>
    <w:p>
      <w:r>
        <w:t>VD Tribunal cantonal, 1993-03-24, FR</w:t>
      </w:r>
    </w:p>
    <w:p>
      <w:r>
        <w:rPr>
          <w:b/>
        </w:rPr>
        <w:t xml:space="preserve">Quelle: </w:t>
      </w:r>
      <w:r>
        <w:t>https://mcp.opencaselaw.ch/entscheid/vd_omni_GE.1992.0140</w:t>
      </w:r>
    </w:p>
    <w:p>
      <w:r>
        <w:t>FR: VD_OMNI GE.1992.0140 du 24 mars 1993</w:t>
      </w:r>
    </w:p>
    <w:p>
      <w:r>
        <w:t>IT: VD_OMNI GE.1992.0140 del 24 marzo 1993</w:t>
      </w:r>
    </w:p>
    <w:p>
      <w:pPr>
        <w:pStyle w:val="Heading2"/>
      </w:pPr>
      <w:r>
        <w:t>Regeste</w:t>
      </w:r>
    </w:p>
    <w:p>
      <w:r>
        <w:t>c/DPSA | La différence d'âge de + de 40 ans entre l'enfant et un des parents nourric. constitue pas 1 obstacle absolu à l'autorisation d'accueil, uniquement un élément d'appréciation à prendre en compte dans le cadre de l'enquête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al. 1 LJPA), puisqu'elle dispose déjà des éléments essentiels de l'enquête. 3.                             Nonobstant le sort du pourvoi, les frais doivent être laissés à la charge de l'Etat. Les recourants, qui ont consulté un avocat, ont droit aux dépens qu'ils ont requis, arrêtés à Fr. 500.-- (art. 55 al. 1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