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FO.2023.0006 vom 7. Februar 2024</w:t>
      </w:r>
    </w:p>
    <w:p>
      <w:r>
        <w:t>VD Tribunal cantonal, 2024-02-07, FR</w:t>
      </w:r>
    </w:p>
    <w:p>
      <w:r>
        <w:rPr>
          <w:b/>
        </w:rPr>
        <w:t xml:space="preserve">Quelle: </w:t>
      </w:r>
      <w:r>
        <w:t>https://mcp.opencaselaw.ch/entscheid/vd_omni_FO.2023.0006</w:t>
      </w:r>
    </w:p>
    <w:p>
      <w:r>
        <w:t>FR: VD_OMNI FO.2023.0006 du 7 février 2024</w:t>
      </w:r>
    </w:p>
    <w:p>
      <w:r>
        <w:t>IT: VD_OMNI FO.2023.0006 del 7 febbraio 2024</w:t>
      </w:r>
    </w:p>
    <w:p>
      <w:pPr>
        <w:pStyle w:val="Heading2"/>
      </w:pPr>
      <w:r>
        <w:t>Regeste</w:t>
      </w:r>
    </w:p>
    <w:p>
      <w:r>
        <w:t>A.________, B.________/Commission d'affermage, C.________, Direction générale de l'agriculture de la viticulture et des affaires | Décision de la Commission d'affermage réduisant le fermage, prévu par les bailleurs, pour l'exploitation d'un estivage. Suite à un premier recours des bailleurs (FO.2020.0014) que la CDAP avait admis en renvoyant la cause à la Commission d'affermage, celle-ci avait repris l'instruction, s'agissant en particulier de la date d'achèvement des travaux effectués sur cette exploitation. Sa nouvelle décision confirme, peu ou prou, la réduction déjà prononcée et suscite un nouveau recours des bailleurs. Celui-ci est cette fois rejeté. L'autorité intimée a refusé à juste titre de procéder à une inspection locale: le fardeau de la preuve repose sur les bailleurs, qui n'ont pas été en mesure de produire de quelconques factures relatives aux travaux; de plus l'inspection locale n'aurait de toute façon pas permis d'établir la date litigieuse. L'autorité intimée pouvait aussi refuser la mise en œuvre d'une expertise, compte tenu des rapports circonstanciés et convaincants de la DGAV, autorité spécialisée (c. 3). Sur le fond, on ne voit pas en quoi le calcul opéré et longuement motivé par la DGAV serait erroné; il sied pour le surplus de renvoyer aux considérants topiques de l'arrêt précédent de la CDAP (c. 4).</w:t>
      </w:r>
    </w:p>
    <w:p>
      <w:pPr>
        <w:pStyle w:val="Heading2"/>
      </w:pPr>
      <w:r>
        <w:t>Erwägungen</w:t>
      </w:r>
    </w:p>
    <w:p>
      <w:r>
        <w:rPr>
          <w:b/>
        </w:rPr>
        <w:t>E. 1</w:t>
      </w:r>
    </w:p>
    <w:p>
      <w:r>
        <w:t>Formé en temps utile par les destinataires de la nouvelle décision, la recevabilité du présent recours – déjà admise dans l’arrêt de renvoi – n’est pas contestée; il convient ainsi que d’entrer en matière sur le fond.</w:t>
      </w:r>
    </w:p>
    <w:p>
      <w:r>
        <w:rPr>
          <w:b/>
        </w:rPr>
        <w:t>E. 2</w:t>
      </w:r>
    </w:p>
    <w:p>
      <w:r>
        <w:t>Le bailleur doit demander l’approbation du fermage dans les trois mois à compter de l’entrée en jouissance de la chose affermée ou à compter de l’accord modifiant le fermage conclu avec le fermier. L’adaptation du fermage dans les limites de la modification des éléments de calcul fixés par le Conseil fédéral n’est pas soumise à approbation. A la requête d’une partie, l’autorité cantonale constate dans quelle mesure le fermage peut être adapté.</w:t>
      </w:r>
    </w:p>
    <w:p>
      <w:r>
        <w:rPr>
          <w:b/>
        </w:rPr>
        <w:t>E. 3</w:t>
      </w:r>
    </w:p>
    <w:p>
      <w:r>
        <w:t>Les recourants dénoncent principalement, comme dans la procédure de recours antérieure, une violation de leur droit d’être entendus par l'autorité intimée. Ils reprochent ainsi à la DGAV notamment, malgré l’arrêt de renvoi, de ne pas avoir procédé à une instruction sérieuse, par exemple en refusant de se rendre sur place. Cela les amène, dans la foulée, à renouveler devant la CDAP les demandes relatives à des mesures d’instruction qu’ils avaient adressées sans succès à l'autorité intimée et à la DGAV, portant en particulier sur la tenue d’une inspection locale, d’une part, et la mise en œuvre d’une expertise d’autre part. En d’autres termes, ils suggèrent à la CDAP de réparer une (prétendue) violation de leur droit d’être entendus en procédant elle-même aux mesures d’instruction qu’ils proposent. a)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Dans ces limites étroites et à supposer qu’une violation du droit d’être entendu doive être retenue, une "réparation" par l’autorité de céans serait ainsi envisageable. On observera aussi que l’autorité de recours doit procéder à une appréciation d’ensemble de la procédure qui s’est déroulée antérieurement pour pouvoir conclure à une éventuelle violation du droit d’être entendu de la partie qui s’en prévaut. En l’occurrence, les recourants ont eu de nombreuses occasions de faire valoir leur point de vue – occasions qu’ils ont souvent utilisées, mais pas toujours (notamment en omettant de demander l’approbation du bail à ferme conclu avec le tiers intéressé C.________ dans le délai prévu à cet effet par l’art. 42 al. 2 LBFA). Quoi qu’il en soit, il appartient à la CDAP d’examiner d’abord s’il y a lieu de retenir une violation du droit d’être entendu de la part de l'autorité intimée, puis de statuer sur les mesures d’instruction requises devant elle, susceptibles d’être encore nécessaires. S’agissant de ces dernières, il faut relever cependant que l’autorité de recours n’a pas nécessairement à y donner suite. Elle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 b) L’arrêt de renvoi rendu par la CDAP invitait l'autorité intimée à compléter l’instruction. De manière toute générale, il faut observer à cet égard que l'autorité intimée et la DGAV, vu la teneur des considérants de cet arrêt (cités en partie "Faits", let. L), disposaient d’une certaine marge d’appréciation sur les mesures d’instruction à conduire aux fins de compléter le dossier (dans le même sens, arrêt CDAP FO.2022.0013 du 30 juin 2023 consid. 3). c) aa) Les recourants ont demandé une inspection locale et à cette occasion l’audition de A.________; il s’agit en l’occurrence d’une audition de parties, qui peut s’avérer nécessaire dans certaines circonstances, mais dont la valeur probante apparaît de toute manière relative. Cette mesure avait trait à un point central soulevé dans le pourvoi et évoqué dans l’arrêt de renvoi, à savoir la date d’achèvement des travaux accomplis sur le bien-fonds affermé. Le refus d’une telle mesure par l'autorité intimée et la DGAV serait constitutif, selon les recourants, d’une violation de leur droit d’être entendus. A titre liminaire, on relève que le fardeau de la preuve (art. 8 CC) pèse ici sur les recourants (dans ce sens, arrêt TF 4A_679/2012 du 1 er mai 2013 consid. 2.1, rendu en matière de bail à ferme agricole, en l’espèce un bail conclu oralement). Au cours de l’instruction conduite après l’arrêt de renvoi, les recourants ont été invités par la DGAV à produire toutes les factures relatives à ces travaux, comme le suggérait d’ailleurs l’arrêt de la CDAP précité. Or, les recourants n’ont pas été en mesure de donner suite à cette réquisition; ils n’ont d’ailleurs produit aucune pièce à ce sujet (pas même des factures relatives aux fournitures nécessaires pour de tels travaux), invitant l'autorité intimée et la DGAV à les pallier par le biais d’une vision locale et de l’audition de A.________. Procédant elles aussi à une appréciation anticipée des preuves, ces autorités ont estimé que les propositions des recourants n’étaient pas propres à établir de manière sûre les faits allégués. De même, la lettre de A.________, représentant son fils B.________, du 15 avril 2019, énumère un certain nombre de travaux qui auraient été réalisés sur l’exploitation en cause; toutefois la liste de ces travaux ne comporte aucune date et ne permet donc pas de démontrer le moment d’achèvement des travaux. Cela étant, les autorités pouvaient à bon droit renoncer à donner suite aux réquisitions qui leur avaient été présentées – dans la mesure où elles n’auraient pas été de nature à établir la date d’achèvement des travaux allégués –, tout en s’appuyant sur les photos aériennes figurant au dossier pour fixer cette date de manière approximative. Le refus de l'autorité intimée et de la DGAV apparaît ainsi fondé et la CDAP ne saurait y voir une violation du droit d’être entendu des recourants. Pour le même motif, la cour de céans n’a pas non plus à donner suite aux réquisitions portant sur ces mesures d’instruction que les recourants renouvellent devant elle. bb) Les recourants soutiennent ensuite que l’instruction menée par l'autorité intimée et la DGAV – qui a pris la forme de rapports successifs portant sur la question du fermage licite de l’alpage ici en cause – n’était pas sérieuse. Ils demandent en conséquence à la CDAP d’ordonner une expertise fixant le fermage licite. Il convient au préalable de mentionner ici l’art. 22 LVLBFA, qui se lit comme suit: " Art. 22 1 La Commission d'affermage ordonne les mesures d'instruction qu'elle juge utiles, faisant notamment procéder d'office aux expertises nécessaires. 2 Pour les requêtes concernant le fermage d'une entreprise, elle demande un préavis au Département en charge de l’agriculture. " Dans la pratique administrative des autorités compétentes en matière de baux à ferme agricoles, les préavis de la DGAV, en tant qu’ils proviennent d’un service spécialisé, tiennent lieu d’expertises. Cette solution est d’ailleurs conforme à la pratique suivie dans d’autres domaines, également marqués par un haut degré de technicité. Confronté à des questions de nature technique, le tribunal s'impose en effet une certaine retenue, notamment à l'égard des préavis de services cantonaux spécialisés, assimilés dans une large mesure à des avis d'experts. Le tribunal ne peut s'écarter de l'avis du service spécialisé que pour des motifs convaincants (arrêts CDAP AC.2013.0374 du 7 août 2014 consid. 6a; AC.2013.0059 du 26 novembre 2013 consid. 2d; AC.2006.0131 du 13 juillet 2007 consid. 6c et les références citées). L’autorité de céans ne doit dès lors ordonner à son tour une expertise que si les différents rapports de la DGAV apparaissent en l’occurrence incomplets, contradictoires ou peu convaincants encore pour d’autres motifs. Or, il faut souligner à cet égard qu’un collaborateur de la DGAV a procédé à trois visites sur place, soit les 13 juillet et 13 août 2015, ainsi que le 3 septembre 2019, comme l’admettent d’ailleurs les recourants eux-mêmes, en lien avec des procédures en fixation du fermage licite de leur alpage. Les constatations qu’a pu faire ce dernier à cette occasion ont servi de base aux divers rapports de la DGAV, y compris à ceux qui ont servi de fondement à la décision attaquée – ainsi d’ailleurs qu’à d’autres décisions portant aussi sur le fermage licite de cet alpage. En outre, ces rapports une fois versés au dossier ont été communiqués aux recourants, qui ont ainsi pu se déterminer sur ces nouvelles pièces. Comme on le verra encore ci-après, les griefs des recourants à l’égard de ces rapports, de par leur nature très générale, ne permettent pas à la Cour de retenir des doutes fondés quant aux constatations faites en dernier lieu par la DGAV. On ne voit dès lors pas en quoi l'autorité intimée et la DGAV pourraient se voir reprocher une violation du droit d’être entendu des recourants. La cour s’estime dès lors suffisamment renseignée et refuse ainsi de donner suite à la requête d’expertise présentée par les recourants.</w:t>
      </w:r>
    </w:p>
    <w:p>
      <w:r>
        <w:rPr>
          <w:b/>
        </w:rPr>
        <w:t>E. 4</w:t>
      </w:r>
    </w:p>
    <w:p>
      <w:r>
        <w:t>De manière générale, le pourvoi conteste sur le fond le calcul du fermage licite effectué par l'autorité intimée et la DGAV. Les recourants n’étayent toutefois guère leurs critiques, se contentant d’affirmer que le calcul n’est pas compréhensible. a) Ainsi s’agissant de la durée d’occupation prise en considération, le complément d’information et préavis établi le 25 octobre 2022 par la DGAV est explicite. On ne voit pas on quoi le calcul opéré et longuement motivé par cette autorité spécialisée serait erroné (voir aussi à ce propos la détermination de la DGAV du 29 septembre 2023 qui insiste sur le fait qu’il convient d’arrêter le fermage licite sur la base d’une durée d’occupation moyenne, fixée en début de contrat et non après la fin de celui-ci). Le grief doit par conséquent être écarté. b) Les recourants s’en prennent au rapport de la DGAV s’agissant de la question de l’approvisionnement en eau (et de sa portée sur l’estimation du fermage). En réalité, cette critique repose sur une confusion, mise en évidence par la détermination de la DGAV du 29 septembre 2023 (en p. 3, ad allégué 42 des recourants). c) Pour le surplus, les recourants dénoncent une violation des dispositions de l’ordonnance du Conseil fédéral du 11 février 1987 sur le calcul des fermages agricoles (OFerm; RS.221.213.221), ce de manière assez lapidaire. Il faut ainsi constater d’emblée, comme le relève la DGAV dans sa détermination, que le fermage licite ici en cause a été fixé en tenant compte des deux suppléments de 15% chacun prévus par les art. 7 al. 3 et 4 OFerm, de sorte que la décision attaquée ne saurait être contestée sous cet angle. Par ailleurs, dans son arrêt du 10 juin 2021, la CDAP avait d’emblée écarté divers griefs en relation notamment avec les art. 4 et 14 OFerm (consid. 6). L'argumentation des recourants ne permet pas de s'écarter de ces considérations, auxquelles il sied de renvoyer expressément (au sujet de l’art. 14 OFerm, voir d’ailleurs l'arrêt de la Commission de recours du Département fédéral de l'économie du 7 juillet 2001, in JAAC 65.46, consid. 7, où l’on voit que cette disposition vise d’autres configurations que celles invoquées par les recourants). d) Les griefs soulevés par les recourants sur le fond doivent ainsi être écartés.</w:t>
      </w:r>
    </w:p>
    <w:p>
      <w:r>
        <w:rPr>
          <w:b/>
        </w:rPr>
        <w:t>E. 5</w:t>
      </w:r>
    </w:p>
    <w:p>
      <w:r>
        <w:t>Les développements qui précèdent conduisent au rejet du recours, ainsi qu’à la confirmation de la décision attaquée. Les recourants, qui succombent, doivent supporter l’émolument d’arrêt et, pour le même motif, n’ont pas droit à une indemnité à titre de dépens (art. 49 et 55 de la loi vaudoise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