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FO.2022.0011 vom 14. Juli 2023</w:t>
      </w:r>
    </w:p>
    <w:p>
      <w:r>
        <w:t>VD Tribunal cantonal, 2023-07-14, FR</w:t>
      </w:r>
    </w:p>
    <w:p>
      <w:r>
        <w:rPr>
          <w:b/>
        </w:rPr>
        <w:t xml:space="preserve">Quelle: </w:t>
      </w:r>
      <w:r>
        <w:t>https://mcp.opencaselaw.ch/entscheid/vd_omni_FO.2022.0011</w:t>
      </w:r>
    </w:p>
    <w:p>
      <w:r>
        <w:t>FR: VD_OMNI FO.2022.0011 du 14 juillet 2023</w:t>
      </w:r>
    </w:p>
    <w:p>
      <w:r>
        <w:t>IT: VD_OMNI FO.2022.0011 del 14 luglio 2023</w:t>
      </w:r>
    </w:p>
    <w:p>
      <w:pPr>
        <w:pStyle w:val="Heading2"/>
      </w:pPr>
      <w:r>
        <w:t>Regeste</w:t>
      </w:r>
    </w:p>
    <w:p>
      <w:r>
        <w:t>A.________/Commission foncière rurale Section I, Municipalité d'Yverdon-les-Bains, Direction générale des immeubles et du patrimoine | Dans le cadre du régime d'exception au principe de l'exploitant à titre personnel prévu à l'art 64 al. 1 let. f LDFR, le fait que le terrain litigieux soit colloqué en zone intermédiaire et fasse l'objet d'un projet de plan de quartier ne justifie pas de prendre en compte un prix supérieur à celui des autres terrains agricoles dans le cadre de l'offre publique d'achat prévue par cette disposition. Prise en compte dans ce cadre du fait que la légalisation du plan de quartier apparaît incertaine et à tout le moins lointaine. Recours au TF rejeté par arrêt du 14 juillet 2023 (2C_147/2023).</w:t>
      </w:r>
    </w:p>
    <w:p>
      <w:pPr>
        <w:pStyle w:val="Heading2"/>
      </w:pPr>
      <w:r>
        <w:t>Erwägungen</w:t>
      </w:r>
    </w:p>
    <w:p>
      <w:r>
        <w:rPr>
          <w:b/>
        </w:rPr>
        <w:t>E. 1</w:t>
      </w:r>
    </w:p>
    <w:p>
      <w:r>
        <w:t>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 b) L'exception de l'art. 64 al. 1 let. f LDFR a pour but de sauvegarder, sous l'angle de la garantie de la propriété (art. 26 Cst.), les intérêts du propriétaire désireux de vendre, dont l'offre n'est suivie d'aucune demande de la part d'un exploitant à titre personnel (TF 2C_747/2008 du 5 mars 2009 consid. 4.2; Christoph Bandli/ Beat Stalder, in: Le droit foncier rural, Commentaire de la loi fédérale sur le droit foncier rural du 4 octobre 1991, 1998, n° 36 ad art. 64 LDFR).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(art. 63 al. 1 let. b et art. 66 LDFR; cf. Bandli/Stadler, in: Commentaire LDFR, op. cit., n° 38 ad art. 64 LDFR). Dans le cas contraire, l'autorisation devra être refusée (TF 2C_747/2008 précité consid. 4.2). 2.                En l'occurrence, est litigieuse la question de savoir si le prix mentionné dans l'appel d'offres public que la recourante a fait publier dans la FAO au mois de mai 2022, soit un prix correspondant à 10 fr. le m</w:t>
      </w:r>
    </w:p>
    <w:p>
      <w:r>
        <w:rPr>
          <w:b/>
        </w:rPr>
        <w:t>E. 2</w:t>
      </w:r>
    </w:p>
    <w:p>
      <w:r>
        <w:t>Les considérants qui précèdent conduisent au rejet du recours et à la confirmation de la décision attaquée. Succombant, la recourante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