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FO.2019.0013 vom 11. Dezember 2019</w:t>
      </w:r>
    </w:p>
    <w:p>
      <w:r>
        <w:t>VD Tribunal cantonal, 2019-12-11, FR</w:t>
      </w:r>
    </w:p>
    <w:p>
      <w:r>
        <w:rPr>
          <w:b/>
        </w:rPr>
        <w:t xml:space="preserve">Quelle: </w:t>
      </w:r>
      <w:r>
        <w:t>https://mcp.opencaselaw.ch/entscheid/vd_omni_FO.2019.0013</w:t>
      </w:r>
    </w:p>
    <w:p>
      <w:r>
        <w:t>FR: VD_OMNI FO.2019.0013 du 11 décembre 2019</w:t>
      </w:r>
    </w:p>
    <w:p>
      <w:r>
        <w:t>IT: VD_OMNI FO.2019.0013 del 11 dicembre 2019</w:t>
      </w:r>
    </w:p>
    <w:p>
      <w:pPr>
        <w:pStyle w:val="Heading2"/>
      </w:pPr>
      <w:r>
        <w:t>Regeste</w:t>
      </w:r>
    </w:p>
    <w:p>
      <w:r>
        <w:t>A.________/Commission foncière rurale Section I, B.________, C.________ | Demande par un héritier de l'attribution d'une entreprise agricole dans un partage successoral. Litige quant à l'estimation de la valeur de rendement de l'entreprise agricole. Détermination de cette valeur par la CFR sur la base du guide fédéral pour l'estimation de la valeur de rendement agricole (annexe à l'ODFR), dans sa teneur de 2004. Recours par un autre membre de l'hoirie demandant l'application du guide précité dans sa nouvelle teneur au 1er avril 2018. Admission du recours: l'autorité intimée doit statuer sur la base du guide précité dans sa version de 2018; les règles mettant en oeuvre l'art. 10 LDFR doivent être appliquées dès leur entrée en vigueur, en raison de l'intérêt public qui y est rattaché, à moins d'un intérêt privé prépondérant opposé qui fait défaut en l'espèce. Cette solution respecte en outre l'esprit de l'art. 617 CC qui précise que la valeur à prendre en compte dans une succession est celle que les immeubles présentent au moment du partage.</w:t>
      </w:r>
    </w:p>
    <w:p>
      <w:pPr>
        <w:pStyle w:val="Heading2"/>
      </w:pPr>
      <w:r>
        <w:t>Erwägungen</w:t>
      </w:r>
    </w:p>
    <w:p>
      <w:r>
        <w:rPr>
          <w:b/>
        </w:rPr>
        <w:t>E. 1</w:t>
      </w:r>
    </w:p>
    <w:p>
      <w:r>
        <w:t>La décision attaquée a été notifiée le 29 avril 2019; le recours, formé dans le délai légal de trente jours, a ainsi été déposé en temps utile. Au surplus, il a été formé par l’un des héritiers partie à l’action en partage pendante actuellement; ce dernier, qui a un intérêt digne de protection à la modification de cette décision, a dès lors qualité pour recourir (voir d’ailleurs art. 87 al. 3 let. a, 88 et 89 LDFR). Il convient dès lors d’entrer en matière sur le pourvoi.</w:t>
      </w:r>
    </w:p>
    <w:p>
      <w:r>
        <w:rPr>
          <w:b/>
        </w:rPr>
        <w:t>E. 2</w:t>
      </w:r>
    </w:p>
    <w:p>
      <w:r>
        <w:t>Le Conseil fédéral règle le mode et la période de calcul, ainsi que les modalités de l’estimation.</w:t>
      </w:r>
    </w:p>
    <w:p>
      <w:r>
        <w:rPr>
          <w:b/>
        </w:rPr>
        <w:t>E. 3</w:t>
      </w:r>
    </w:p>
    <w:p>
      <w:r>
        <w:t>La CFR I a appliqué le Guide fédéral d'estimation dans sa version de 2004; elle fait valoir en quelque sorte des difficultés pratiques susceptibles de résulter de l'application simultanée du guide dans sa version de 2004 (pour les parcelles dont l'estimation a été confirmée), respectivement du guide dans son édition de 2018 pour la partie du bâtiment sise sur la parcelle n° 510 encore à estimer. La recourante, pour sa part, considère que cette approche est erronée et elle demande, de manière implicite, que la valeur de rendement de l'entreprise agricole soit adaptée dans son entier en fonction du nouveau Guide fédéral d'estimation. a) Au préalable, on observe que les valeurs (qu'il s'agisse d'une entreprise ou d'un immeuble agricole) sont susceptibles d'évoluer, notamment en fonction des faits; dans une telle hypothèse (par exemple à la suite d'une catastrophe naturelle ou d'un incendie), on ne voit pas quel motif s'opposerait à une nouvelle estimation au moment du partage, cela conformément à l'art. 617 CC. Il devrait en aller de même en présence d'une évolution conjoncturelle de ces valeurs. b) Toutefois, s'agissant de valeurs agricoles, cette évolution conjoncturelle est intégrée dans un ensemble de règles de droit, relevant de l'ODFR et du Guide fédéral d'estimation. Comme on l'a vu plus haut, la nouvelle version de ce guide vise à arrêter des valeurs correspondant au plus près à la réalité économique. c) Ceci posé, on évoquera successivement quelques principes généraux d'application du droit dans le temps (consid. 4); on analysera ensuite la portée de l'arrêt de la CDAP du 16 mars 2017 (consid. 5). On s'attèlera enfin à l'application de ces différentes règles au cas d'espèce (consid. 6).</w:t>
      </w:r>
    </w:p>
    <w:p>
      <w:r>
        <w:rPr>
          <w:b/>
        </w:rPr>
        <w:t>E. 4</w:t>
      </w:r>
    </w:p>
    <w:p>
      <w:r>
        <w:t>En principe, une règle de droit s'applique dès son entrée en vigueur (cela suppose généralement la publication du texte de la norme et de la date prévue pour son entrée en vigueur; celle-ci doit être postérieure à la publication). Cela n'épuise toutefois pas les difficultés; en présence de deux normes applicables successivement dans le temps, il faut déterminer si la situation de fait pertinente doit être rattachée à la période antérieure ou au contraire à la période postérieure à l'entrée en vigueur de la nouvelle norme. Cette question est parfois réglée expressément par des dispositions transitoires. A défaut, la jurisprudence a développé à cet égard des principes de droit inter-temporel, qui prennent en compte la nature de la situation de faits à régler, d'une part, et la nature de la règle prise en considération, d'autre part. a) La LDFR comporte des dispositions transitoires expresses (art. 94 ss). L'art. 94, selon sa note marginale, concerne les dispositions de droit privé de la LDFR. L'art. 95, par ailleurs, concerne des règles de droit public portant sur l'interdiction du partage matériel, l'interdiction du morcellement, la procédure d'autorisation et la charge maximale; conformément à l'art. 95 LDFR, les règles y relatives s'appliquent à tous les actes juridiques dont l'inscription est requise auprès de l'Office du Registre foncier après l'entrée en vigueur de la présente loi (al. 1; les procédures d'autorisation et de recours sont en outre liquidées selon le nouveau droit si, à ce moment-là, l'inscription de l'acte juridique en cause n'était pas encore requise auprès de l'Office du Registre foncier: al. 2). Les art. 95a et 95b indiquent par ailleurs expressément que les règles des art. 94 et 95 s'appliquent également aux révisions ultérieures de 2003 et de 2007 de la LDFR. b) En l'absence de dispositions transitoires expresses, il faut se référer à des principes généraux de droit inter-temporel. S'agissant d'un fait ponctuel, clairement circonscrit dans le temps, la règle applicable est celle en vigueur au moment où se déroule le fait en question (par exemple un accident). S'agissant par ailleurs d'une demande d'autorisation, l'autorité applique en principe le droit en vigueur au moment où elle statue. En revanche, l'autorité de recours, qui procède à un contrôle de l'activité de l'autorité administrative, se contente de vérifier que la décision en cause applique correctement le droit en vigueur au moment où elle a été prise (voir sur ce thème Moor/Flückiger/Martenet, Droit administratif I, 2012, p. 194 et les références; voir aussi ATF 126 II 522, spécialement 534; 129 II 497, spécialement 522, sous réserve de motifs impératifs commandant une application immédiate du nouveau texte par l’autorité de recours). On peut encore évoquer une autre configuration, savoir celle d'une décision à effets durables, arrêtée sous l'ancien droit et dont les effets sont susceptibles de se poursuivre sous l'empire du nouveau droit. Selon la recourante (qui invoque notamment Moor/Poltier, Droit administratif II, 2011, p. 302), la décision administrative qui devient contraire au droit par le jeu de l'entrée en vigueur d'une nouvelle norme est susceptible de révocation; encore faut-il qu'une balance d'intérêts conduise à donner la préférence à l'intérêt public à la bonne application du droit plutôt qu'à l'intérêt privé au maintien de la décision en cause (par ailleurs, la décision statutaire est adaptée sans autre au nouveau droit; tel est le cas par exemple de la décision de nomination d’un fonctionnaire). De toute façon, seule une décision administrative entrée en force peut faire l’objet d’une révocation.</w:t>
      </w:r>
    </w:p>
    <w:p>
      <w:r>
        <w:rPr>
          <w:b/>
        </w:rPr>
        <w:t>E. 5</w:t>
      </w:r>
    </w:p>
    <w:p>
      <w:r>
        <w:t>La question se pose en premier lieu de la portée de l'arrêt du 16 mars 2017 rendu par la CDAP dans l'étape précédente de la présente cause. Selon le dispositif, la décision de la CFR I, du 19 février 2016, est annulée. En d'autres termes, a priori tout au moins, il faut considérer que la cause est replacée entre les mains de l'autorité administrative de première instance, à qui il incombe de rendre une nouvelle décision. Dans une telle configuration, l'autorité administrative doit en principe, selon les règles évoquées plus haut, appliquer le droit en vigueur au moment de cette nouvelle décision: concrètement, l'art. 1 er ODFR, dans sa nouvelle teneur, ainsi que le Guide fédéral d'estimation, dans sa version de 2018. On pourrait objecter à cet égard que l'arrêt précité, tout en annulant la décision du 19 février 2016 (en raison de certains éléments critiqués au consid. 5), ajoutait qu'elle était " confirmée pour le surplus ". Il reste que, malgré cette précision, la décision du 19 février 2016 ne saurait être considérée comme entrée en force, même partiellement (sur les points non critiqués par l'arrêt); en effet, comme le relève la recourante, les éléments "confirmés" par l'arrêt du 16 mars 2017 peuvent encore être contestés ultérieurement devant le Tribunal fédéral (une fois la question de l'estimation de la valeur de rendement définitivement tranchée au plan cantonal). En d'autres termes, malgré l'ajout précité, à teneur duquel la décision du 19 février 2016 est " confirmée pour le surplus ", il n'y a aucun obstacle à ce que la CFR I, dans sa nouvelle décision, applique les articles 1 et 2 ODFR et le Guide fédéral dans sa version de 2018 à la présente cause et adapte la valeur de rendement en fonction de ces nouvelles règles. La recourante a évoqué les règles relatives à la révocation de décisions administratives devenues contraires à de nouvelles dispositions légales; force est de constater que cette question ne se pose pas puisque la révocation ne peut intervenir que s'agissant de décisions entrées en force, hypothèse qui n'est pas réalisée en l'occurrence.</w:t>
      </w:r>
    </w:p>
    <w:p>
      <w:r>
        <w:rPr>
          <w:b/>
        </w:rPr>
        <w:t>E. 6</w:t>
      </w:r>
    </w:p>
    <w:p>
      <w:r>
        <w:t>Il reste à déterminer si la CFR I a appliqué à juste titre le Guide fédéral d'estimation dans sa teneur de 2004, au lieu de celui entré en vigueur en 2018. a) On a évoqué plus haut les dispositions transitoires des art. 94 ss LDFR (voir à ce sujet Denis Piotet, Le droit transitoire des lois fédérales sur le droit foncier rural et sur la révision partielle du Code civil et du Code des obligations du 4 octobre 1991, RDS 1994 I 125 ss). aa) Selon sa note marginale, l'art. 94 LDFR ne concerne que le droit privé, soit les dispositions des art. 11 à 57 LDFR (ATF 134 III 1, spéc. 4). Sur cet aspect de droit privé, on pourrait aussi invoquer, dans la mesure non traitée par l'art. 94 LDFR, l'art. 15 du titre final du Code civil. bb) L'art. 95 LDFR, qui contient une disposition transitoire concernant des questions de droit public, vise d’autres hypothèses que celle du cas d'espèce et il n’est donc pas applicable. Il reste que la jurisprudence a attribué au droit public les dispositions des art. 6 à 10 LDFR; elle a considéré en outre que ces dispositions, dans la mesure où elles tendent à la protection d'un intérêt public, sont applicables dès leur entrée en vigueur (ATF 134 III 1, spéc. 4; voir également TF 5A_682/2014 du 16 juillet 2015, consid. 6.2); les deux arrêts concernent l'art. 7 LDFR. Le second de ces arrêts réserve il est vrai la présence d'intérêts privés prépondérants opposés à cette application (consid. 6.3.4), mais il retient que cette hypothèse n'est pas remplie en l'occurrence. b) Il convient d'appliquer cette dernière jurisprudence dans le cadre des art. 1 et 2 ODFR (et du Guide fédéral d'estimation, qui en constitue l'annexe), en tant que règles d'exécution de l'art. 10 LDFR, dont on vient de voir qu’il doit être rattaché au droit public. Autrement dit, suivant la jurisprudence précitée, les règles mettant en œuvre l'art. 10 LDFR doivent être appliquées dès leur entrée en vigueur, en raison de l'intérêt public qui y est rattaché (on se réfère ici au communiqué de presse du Conseil fédéral), à moins d'un intérêt privé prépondérant opposé. Sous langle de l’intérêt public, la préoccupation sous-jacente à la nouvelle réglementation est d’arrêter des valeurs de rendement adaptées à l’évolution économique, correspondant dans toute la mesure du possible aux revenus susceptibles d’être réalisés par les entreprises agricoles, en particulier après la remise de celles-ci; cela correspond à un objectif de protection des exploitants. Or, on se souvient que le Guide fédéral d'estimation, dans sa version de 2004 est fondé sur des rendements moyens des années 1994 à 2010; pour la succession ici en cause, encore à partager, il paraît plus adéquat de se référer à la période de calcul 2010 à 2024. De même, les taux d’intérêt ont fortement évolué depuis 2004 et il est nécessaire d’en tenir compte au titre du taux de capitalisation à prendre en compte pour le calcul de la valeur de rendement du domaine; l’application du nouveau taux préconisé par l’art. 1 er ODFR, dans sa version de 2018 apparaît ainsi justifiée. Sous l’angle de l’intérêt privé, les parties intimées n'ont invoqué aucun intérêt prépondérant de cette nature opposé à l’application du Guide fédéral d'estimation de 2018 (aucune n'a pris de conclusion dans le cadre de la présente procédure de recours, ni développé d'argumentation dans ce sens). Seule la CFR I a évoqué des difficultés pratiques, lesquelles ne sauraient être considérées comme des intérêts privés prépondérants; elles s’apparentent plus aux difficultés que le juge civil rencontre lui aussi dans l’application de l’art. 617 CC, en relation avec le moment déterminant pour arrêter la valeur de la succession, lorsque la procédure de partage se prolonge et que les valeurs évoluent dans l’intervalle. Sous cet angle, la solution retenue ici respecte d’ailleurs l’esprit de l’art. 617 CC. c) Les considérants qui précèdent conduisent à l'annulation de la décision attaquée en son entier; le dossier est ainsi retourné à la Commission intimée, afin qu'elle établisse une valeur de rendement adaptée au Guide fédéral d'estimation dans sa version 2018 pour l'ensemble des parcelles concernées. d) La recourante reprend au surplus les arguments qu’elle avait développés dans son premier recours et que la cour avait rejetés dans son arrêt du 16 mars 2017. Faute d’éléments nouveaux (autres que ceux découlant du nouveau Guide fédéral d'estimation), la Cour de céans ne voit pas de motif de remettre en cause sur ces aspects son précédent jugement.</w:t>
      </w:r>
    </w:p>
    <w:p>
      <w:r>
        <w:rPr>
          <w:b/>
        </w:rPr>
        <w:t>E. 7</w:t>
      </w:r>
    </w:p>
    <w:p>
      <w:r>
        <w:t>Dès lors que le recours doit admis, la présente décision doit être rendue sans frais (art. 49 et 52 de la loi vaudoise du 28 octobre 2008 sur la procédure administrative: LPA-VD; BLV 173.36); il n'y a au demeurant pas lieu de mettre l'émolument de justice à charge des tiers intéressés, dans la mesure où ceux-ci n'ont pas pris de conclusions à l'encontre du recours, en soutien de la décision attaquée. Il convient en revanche d'allouer une indemnité à titre de dépens à la recourante, qui obtient gain de cause avec le concours d'un avocat. Ces dépens seront mis à la charge de l'Etat de Vaud, par l'autorité intimée qui succombe (art. 55 LPA-VD et art.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