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FO.2016.0007 vom 13. Januar 2017</w:t>
      </w:r>
    </w:p>
    <w:p>
      <w:r>
        <w:t>VD Tribunal cantonal, 2017-01-13, FR</w:t>
      </w:r>
    </w:p>
    <w:p>
      <w:r>
        <w:rPr>
          <w:b/>
        </w:rPr>
        <w:t xml:space="preserve">Quelle: </w:t>
      </w:r>
      <w:r>
        <w:t>https://mcp.opencaselaw.ch/entscheid/vd_omni_FO.2016.0007</w:t>
      </w:r>
    </w:p>
    <w:p>
      <w:r>
        <w:t>FR: VD_OMNI FO.2016.0007 du 13 janvier 2017</w:t>
      </w:r>
    </w:p>
    <w:p>
      <w:r>
        <w:t>IT: VD_OMNI FO.2016.0007 del 13 gennaio 2017</w:t>
      </w:r>
    </w:p>
    <w:p>
      <w:pPr>
        <w:pStyle w:val="Heading2"/>
      </w:pPr>
      <w:r>
        <w:t>Regeste</w:t>
      </w:r>
    </w:p>
    <w:p>
      <w:r>
        <w:t>A.________ /Commission foncière rurale Section I | Le recourant, exploitant agricole, est le propriétaire de nombreuses parcelles dont la parcelle litigieuse que son fils, enseignant, souhaite acquérir. D'une part, c'est à tort que la CFR exige une autorisation pour cette acquisition: le fils du recourant n'est certes pas un exploitant personnel puisqu'il est enseignant. Cela étant, en tant que descendant du vendeur, cette acquisition n'a pas besoin d'être autorisée (c. 2). D'autre part, s'il ne fait aucun doute que la parcelle est une entreprise agricole au sens de l'art. 6 LDFR (c.3b/bb) et que les trois premières conditions de l'art. 7 LDFR sont réalisées (présence cumulative d'immeubles, de bâtiments et d'installations agricoles, c. 3a et 3c), un doute subsiste s'agissant de l'exigence d'une unité économique entre dite parcelle et les autres que le recourant possède. La CFR n'y apporte aucune précision, nonobstant les déclarations du recourant expliquant n'avoir jamais exploité cette parcelle et l'avoir laissée à la libre disposition de son fils. Il semble ainsi que ce n'est pas la même personne qui gère et dirige la totalité du domaine avec les mêmes moyens humains, financiers et matériels depuis un centre d'exploitation, contrairement aux exigences de la jurisprudence. Or ces éléments sont déterminants pour juger si la parcelle litigieuse fait partie d'une entreprise agricole au sens de la LDFR et si son fractionnement est possible. Le recours est admis et le dossier est renvoyé à l'autorité intimée pour qu'elle complète son instruction et qu'elle rende une nouvelle décision.</w:t>
      </w:r>
    </w:p>
    <w:p>
      <w:pPr>
        <w:pStyle w:val="Heading2"/>
      </w:pPr>
      <w:r>
        <w:t>Erwägungen</w:t>
      </w:r>
    </w:p>
    <w:p>
      <w:r>
        <w:rPr>
          <w:b/>
        </w:rPr>
        <w:t>E. 1</w:t>
      </w:r>
    </w:p>
    <w:p>
      <w:r>
        <w:t>a) L a loi fédérale du 4 octobre 1991 sur le droit foncier rural (LDFR) a pour but selon son article 1 er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A cet effet, elle contient des dispositions sur (art. 1 al. 2 LDFR):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La LDFR vise à promouvoir et à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 les cas et les motifs d'octroi d'une autorisation (ATF 132 III 515; ATF 5A.1/2006 du 29 mai 2006 consid. 3.1; CDAP FO.2010.0009 du 17 février 2011 consid. 1a). L'entreprise agricole d'une part et l'exploitation agricole d'autre part jouissent d'une protection particulière pour assurer leur existence, mais non pour maintenir des structures indésirables; dans cette mesure il faut recourir aux critères du caractère indispensable et de la viabilité économique (ATF 125 III 175). Aux termes de l'art. 58 LDFR, aucun immeuble ou partie d'immeuble ne peut être soustrait à une "entreprise agricole" (interdiction de partage matériel) (al. 1); les immeubles agricoles ne peuvent pas être partagés en parcelles de moins de 25 ares (interdiction de morcellement). Cette surface minimale est de 15 ares pour les vignes. Les cantons peuvent fixer des surfaces minimales plus élevées (al. 2); en outre, les entreprises et les immeubles agricoles ne peuvent pas être partagés en parts de copropriété inférieures à un douzième (al. 3).</w:t>
      </w:r>
    </w:p>
    <w:p>
      <w:r>
        <w:rPr>
          <w:b/>
        </w:rPr>
        <w:t>E. 2</w:t>
      </w:r>
    </w:p>
    <w:p>
      <w:r>
        <w:t>a) Le litige porte sur l'acquisition par le fils du recourant de la parcelle 74 de Ropraz. La décision attaquée rappelle l’exigence de l’art. 61 LDFR selon laquelle celui qui entend acquérir une entreprise agricole ou un immeuble agricole doit obtenir une autorisation et précise que l’autorisation doit être refusée lorsque l’acquéreur n’est pas exploitant à titre personnel (art. 63 al. 1 let. a LDFR). L’autorité intimée relève que l’acquéreur C.________ est enseignant, qu’il n’est donc pas exploitant à titre personnel  et que l’autorisation d’acquérir devrait lui être refusée dès lors qu’il n’est pas exploitant à titre personnel. Toutefois, cette appréciation ne semble pas prendre en compte tous les éléments déterminants qui ressortent du dossier pour décider de l’octroi de l’autorisation. En effet, l’art. 62 let. b LDFR prévoit que l’acquisition faite par un descendant du vendeur n’a pas besoin d’être autorisée. Or, l’acquéreur C.________ y est bien le fils du vendeur recourant A.________ de sorte que l’autorisation requise par l’art. 61 LDFR n’est pas nécessaire dans ce cas de figure. Le premier motif du refus n’apparaît ainsi pas fondé. Il reste ainsi à examiner la question du partage matériel.</w:t>
      </w:r>
    </w:p>
    <w:p>
      <w:r>
        <w:rPr>
          <w:b/>
        </w:rPr>
        <w:t>E. 3</w:t>
      </w:r>
    </w:p>
    <w:p>
      <w:r>
        <w:t>Pour apprécier s'il s'agit d'une entreprise agricole, on prendra en considération les immeubles assujettis à la présente loi (art. 2).</w:t>
      </w:r>
    </w:p>
    <w:p>
      <w:r>
        <w:rPr>
          <w:b/>
        </w:rPr>
        <w:t>E. 4</w:t>
      </w:r>
    </w:p>
    <w:p>
      <w:r>
        <w:t>Les considérants qui précèdent conduisent à l'admission partielle du recours dans le sens des considérants et à l'annulation de la décision attaquée. La cause est retournée à l'autorité intimée pour compléter l'instruction dans le sens des considérants et statuer à nouveau. Au vu de ce résultat, il ne sera pas perçu d'émolument judiciaire, ni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