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FO.2015.0004 vom 11. Januar 2017</w:t>
      </w:r>
    </w:p>
    <w:p>
      <w:r>
        <w:t>VD Tribunal cantonal, 2017-01-11, FR</w:t>
      </w:r>
    </w:p>
    <w:p>
      <w:r>
        <w:rPr>
          <w:b/>
        </w:rPr>
        <w:t xml:space="preserve">Quelle: </w:t>
      </w:r>
      <w:r>
        <w:t>https://mcp.opencaselaw.ch/entscheid/vd_omni_FO.2015.0004</w:t>
      </w:r>
    </w:p>
    <w:p>
      <w:r>
        <w:t>FR: VD_OMNI FO.2015.0004 du 11 janvier 2017</w:t>
      </w:r>
    </w:p>
    <w:p>
      <w:r>
        <w:t>IT: VD_OMNI FO.2015.0004 del 11 gennaio 2017</w:t>
      </w:r>
    </w:p>
    <w:p>
      <w:pPr>
        <w:pStyle w:val="Heading2"/>
      </w:pPr>
      <w:r>
        <w:t>Regeste</w:t>
      </w:r>
    </w:p>
    <w:p>
      <w:r>
        <w:t>Office fédéral de la justice/Commission foncière, A.________, B.________ | Validité au regard de la LFAIE d'un contrat de prêt conclu entre un prêteur étranger et un emprunteur suisse pour financer une opération immobilière. Le prêt ne représente pas 30% du prix total. Il n'en demeure pas moins que les capitaux investis sont d'origine étrangère. Dès lors que la Commission foncière n'a pas examiné en détail les circonstances du prêt, il n'est pas possible de déterminer si on se trouve ou non en présence d'une opération relevant de la spéculation sur des immeubles en Suisse opérée par une personne à l'étranger financièrement forte, opération qui ne serait pas admissible au regard de la LFAIE. L'OFJ a donc appelé à juste titre à des investigations supplémentaires. Admission du recours de l'OFJ.</w:t>
      </w:r>
    </w:p>
    <w:p>
      <w:pPr>
        <w:pStyle w:val="Heading2"/>
      </w:pPr>
      <w:r>
        <w:t>Erwägungen</w:t>
      </w:r>
    </w:p>
    <w:p>
      <w:r>
        <w:rPr>
          <w:b/>
        </w:rPr>
        <w:t>E. 1</w:t>
      </w:r>
    </w:p>
    <w:p>
      <w:r>
        <w:t>let. a LPA-VD, le délai de recours ne court pas du septième jour avant Pâques au septième jour après Pâques, soit du 29 mars au 12 avril 2015. d) La décision attaquée a été envoyée au Département de l'économie, qui a renoncé à recourir et a transmis la décision à l'Office fédéral de la justice le 16 mars 2015, qui dit l'avoir reçue le 20 mars 2015, ce qui n'est pas contesté. Compte tenu des féries judiciaires, le recours posté le 28 avril 2015 a donc été déposé en temps utile. Pour le surplus, déposé dans les formes requises, le recours est recevable.</w:t>
      </w:r>
    </w:p>
    <w:p>
      <w:r>
        <w:rPr>
          <w:b/>
        </w:rPr>
        <w:t>E. 2</w:t>
      </w:r>
    </w:p>
    <w:p>
      <w:r>
        <w:t>a)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ne doit pas s'opposer à des intérêts publics et privés prépondérants (ATAF 2009/42 consid. 2.2 et les références citées). Elle doit même rester l'exception (ATF 130 V 90 consid. 5, ATF 119 II 386 consid. 1b et les références citées). En particulier, le principe de célérité, qui découle des art. 29 de la Constitution fédérale du 18 avril 1999 (Cst.; RS 101) et 6 § 1 de la Convention de sauvegarde des droits de l'homme et des libertés fondamentales du 4 novembre 1950 (CEDH; RS 0.101), pose des limites à la suspension d'une procédure jusqu'à droit connu sur le sort d'une procédure parallèle (ATAF 2009/42 consid. 2.2). De manière générale, la décision de suspension relève du pouvoir d'appréciation de l'autorité saisie; cette dernière procédera à la pesée des intérêts des parties, l'exigence de célérité l'emportant dans les cas limites (ATF 119 II 386 consid. 1b). Il appartiendra à l'autorité saisie de mettre en balance, d'une part, la nécessité de statuer dans un délai raisonnable et, d'autre part, le risque de décisions contradictoires (ATAF 2009/42 consid. 2.2). Le caractère raisonnable du délai s’apprécie au regard de la nature de l’affaire et de l’ensemble des circonstances, notamment l’ampleur et la difficulté de l’affaire, ainsi que l'enjeu que revêt le litige pour l'intéressé (ATF 135 I 265 consid. 4.4 p. 277; 131 V 407 consid. 1.1 p. 409; 130 I 312 consid. 5.2 p. 332 et les arrêts cités). b) En l'occurrence, il apparaît que la Chambre patrimoniale doit traiter un litige portant sur le remboursement du prêt octroyé par A.________ à B.________ ainsi que sur le paiement par cette dernière de la moitié du bénéfice de l'opération et de dommages-intérêts dus pour les dommages consécutifs au retard de paiement. A titre préjudiciel, la Chambre patrimoniale doit ainsi trancher la question de droit administratif qui se pose dans la présente procédure (question du taux d'intérêt admissible et question d'une participation au bénéfice admissible sous l'angle LFAIE). Dès lors que la cause est en état d'être jugée devant le tribunal de céans, spécialisé en matière administrative, il n'y a pas lieu de suspendre la procédure afin qu'une instance civile tranche une question de droit administratif.</w:t>
      </w:r>
    </w:p>
    <w:p>
      <w:r>
        <w:rPr>
          <w:b/>
        </w:rPr>
        <w:t>E. 3</w:t>
      </w:r>
    </w:p>
    <w:p>
      <w:r>
        <w:t>a) Entrée en vigueur le 1 er janvier 1985, la LFAIE limite l'acquisition d'immeubles par des personnes à l'étranger dans le but de prévenir l'emprise étrangère sur le sol suisse (art. 1 er LFAIE). Selon l'art. 2 al. 1 LFAIE, l'acquisition d'immeubles par des personnes à l'étranger est subordonnée à une autorisation de l'autorité cantonale compétente. Par acquisition d'immeubles, on entend aussi l'acquisition d'autres droits, qui confèrent à leur titulaire une position analogue à celle du propriétaire d'immeuble (art. 4 al. 1 let. g LFAIE). Selon l'art. 1 al. 2 let. a OAIE, par autres droits qui confèrent à leur titulaire une position analogue à celle du propriétaire d'un immeuble, on entend notamment le financement de l'achat d'un immeuble ou de sa construction, si les accords intervenus, le montant des crédits octroyés ou la situation financière du débiteur place l'acquéreur ou le maître d'ouvrage dans un rapport de dépendance particulière à l'égard du créancier. Par là, on veut éviter que le créancier puisse se comporter comme le propriétaire du fonds, profitant de la faiblesse économique du propriétaire et débiteur ou, plus directement, de la dépendance économique de celui-ci à son égard ( ATF 107 Ib 12 consid.</w:t>
      </w:r>
    </w:p>
    <w:p>
      <w:r>
        <w:rPr>
          <w:b/>
        </w:rPr>
        <w:t>E. 4</w:t>
      </w:r>
    </w:p>
    <w:p>
      <w:r>
        <w:t>En l'espèce, l'office considère les faits insuffisamment établis par l'autorité intimée pour ce qui concerne la position analogue à celle d'un propriétaire dont pourrait bénéficier A.________ à l'égard de B.________, ceci même sans la participation au bénéfice qui est prévue. Il est vrai que le prêt ne représente pas 30% du prix total (il est même nettement inférieur à 30 % si on prend en compte la totalité du financement de la promotion immobilière [acquisition du terrain et construction des villas]) alors que la jurisprudence la plus restrictive autorise une participation à hauteur de 66%. Il n'en demeure pas moins que les capitaux investis par A.________ sont d'origine étrangère et que le prêt présente notamment la singularité de ne pas être garanti par des cédules hypothécaires. Dès lors que la Commission foncière n'a pas examiné en détail les circonstances du prêt consenti par A.________ à B.________, il n'est pas possible de déterminer si on se trouve en présence d'une opération relevant de la spéculation sur des immeubles en Suisse opérée par une personne à l'étranger financièrement forte au sens où l'entend la jurisprudence du Tribunal fédéral, opération qui ne serait pas admissible au regard de la LFAIE (cf. ATF107 IB 12 précité). L'instruction menée par la Commission foncière à ce jour ne permet ainsi pas de vérifier si, conformément à ce qu'exige la jurisprudence, un tiers – notamment une banque suisse – aurait consenti un prêt identique à celui consenti par A.________ à B.________. L'office a donc appelé à juste titre à des investigations supplémentaires, en requérant que l'autorité intimée procède à l'examen de tous les éléments permettant de comprendre le financement de l'opération dans son intégralité, soit plan de financement, aperçu de l'ensemble de la construction financière du projet, attestations bancaires, bilan de la société, preuves que d'autres créanciers auraient été prêts à prêter ces fonds. Cet examen devra porter le financement de l'ensemble de l'opération immobilière (soit l'achat de l'immeuble et sa construction).</w:t>
      </w:r>
    </w:p>
    <w:p>
      <w:r>
        <w:rPr>
          <w:b/>
        </w:rPr>
        <w:t>E. 5</w:t>
      </w:r>
    </w:p>
    <w:p>
      <w:r>
        <w:t>A.________ a pris des conclusions reconventionnelles. Faute de base légale expresse, le recours joint n'est pas ouvert en procédure administrative vaudoise. Toutefois, selon la jurisprudence, lorsque le droit positif autorise l'autorité de recours à procéder à une " reformatio in pejus " – ce qui est désormais le cas en vertu des art. 99 et 89 al. 2 LPA-VD – les intimés au recours ont la faculté de prendre des conclusions tendant à la modification de la décision attaquée en défaveur du recourant, sans avoir à déposer eux-mêmes un recours; le résultat, sur le plan procédural, est dès lors similaire à celui du recours joint (cf. arrêt AC.2011.0085 du 1 er février 2012 et la référence citée). La question se pose de savoir si cette jurisprudence est applicable dans le présent cas étant donné que le délai de recours de trente jours est fixé par le droit fédéral (art. 20 LFAIE). Vu l'issue du recours qui est admis - ce qui entraîne le rejet implicite des conclusions reconventionnelles - , la question de leur recevabilité n'a toutefois pas à être tranchée définitivement.</w:t>
      </w:r>
    </w:p>
    <w:p>
      <w:r>
        <w:rPr>
          <w:b/>
        </w:rPr>
        <w:t>E. 6</w:t>
      </w:r>
    </w:p>
    <w:p>
      <w:r>
        <w:t>Il résulte des considérants qui précèdent que le recours doit être admis et la décision attaquée annulée, le dossier étant renvoyé à l'autorité intimée pour complément d'instruction et nouvelle décision. L'arrêt est rendu sans frais. Les tiers intéressés, qui soit succombent soit n'ont pas pris de conclusions, n'ont pas droit à l'allocation de dépens (art. 49, 55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