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FO.2014.0005 vom 13. Oktober 2014</w:t>
      </w:r>
    </w:p>
    <w:p>
      <w:r>
        <w:t>VD Tribunal cantonal, 2014-10-13, FR</w:t>
      </w:r>
    </w:p>
    <w:p>
      <w:r>
        <w:rPr>
          <w:b/>
        </w:rPr>
        <w:t xml:space="preserve">Quelle: </w:t>
      </w:r>
      <w:r>
        <w:t>https://mcp.opencaselaw.ch/entscheid/vd_omni_FO.2014.0005</w:t>
      </w:r>
    </w:p>
    <w:p>
      <w:r>
        <w:t>FR: VD_OMNI FO.2014.0005 du 13 octobre 2014</w:t>
      </w:r>
    </w:p>
    <w:p>
      <w:r>
        <w:t>IT: VD_OMNI FO.2014.0005 del 13 ottobre 2014</w:t>
      </w:r>
    </w:p>
    <w:p>
      <w:pPr>
        <w:pStyle w:val="Heading2"/>
      </w:pPr>
      <w:r>
        <w:t>Regeste</w:t>
      </w:r>
    </w:p>
    <w:p>
      <w:r>
        <w:t>A.______________, B.______________ GmbH, C.______________ AG/Commission foncière, D.______________ SA, E.______________ SA, F.______________ Sàrl, G.______________ SA | Requête d'une personne physique et de deux personnes morales adressée à la Commission foncière Section II tendant à ce que cette autorité refuse d'accorder son autorisation au transfert de propriété de plusieurs parcelles dans le cadre d'un acte de "promesse de vente conditionnelle et droit d'emption" passé entre personnes morales tierces. Décision de la Commission foncière Section II déclarant irrecevable la requête. Recours des requérants. Selon la jurisprudence du Tribunal fédéral, la qualité de partie à la procédure d'autorisation à laquelle la décision de l'autorité de première instance doit être notifiée en vertu de l'art. 17 al. 2 LFAIE doit être reconnue à toutes les personnes qui sont habilitées à recourir en vertu de l'art. 20 al. 2 let. a LFAIE, soit à l'acquéreur, à l'aliénateur et à toute autre personne ayant un intérêt digne de protection à ce que la décision soit annulée ou modifiée.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(consid. 2). En l'espèce, l'intérêt des requérants à intervenir dans la procédure devant l'autorité intimée impliquant des personnes morales tierces est tout au plus de nature indirecte et ne saurait par conséquent fonder leur qualité de partie (consid. 3). Recours rejeté.</w:t>
      </w:r>
    </w:p>
    <w:p>
      <w:pPr>
        <w:pStyle w:val="Heading2"/>
      </w:pPr>
      <w:r>
        <w:t>Erwägungen</w:t>
      </w:r>
    </w:p>
    <w:p>
      <w:r>
        <w:rPr>
          <w:b/>
        </w:rPr>
        <w:t>E. 16</w:t>
      </w:r>
    </w:p>
    <w:p>
      <w:r>
        <w:t>décembre 1983 sur l'acquisition d'immeubles par des personnes à l'étranger (LFAIE; RS 211.412.41) en relation avec la vente par la masse en faillite de J.________ Holding  à F.________ Sàrl des actions de D.________ SA et E.________ SA et en relation avec le droit d'emption consenti par D.________ SA et E.________ SA à G.________ SA par acte du 24 janvier 2012 et a par conséquent déclaré irrecevables les conclusions formulées par actes des 11 juillet et 30 octobre 2013, les recourants sont directement touchés par la décision attaquée et ont un intérêt digne de protection à son annulation et à sa modification (art. 20 al. 2 let. a LFAIE). Déposé dans le délai et la forme prévus par la loi, le recours est dès lors recevable. 2.                La LFAIE n'indique pas qui sont les parties à la procédure d'autorisation, auxquelles la décision de l'autorité de première instance doit être notifiée en vertu de l'art. 17 al. 2 LFAIE. Selon la doctrine, il s'agit en premier lieu du requérant, qui a adressé une demande à cette autorité, et qui est le destinataire de la décision en question. En second lieu, la qualité de partie doit être reconnue à toutes les personnes qui sont habilitées à recourir en vertu de l'art. 20 al. 2 let. a LFAIE, soit à l'acquéreur, à l'aliénateur et à toute autre personne ayant un intérêt digne de protection à ce que la décision soit annulée ou modifiée (cf. arrêt TF 2C_621/2009 du 23 septembre 2010 consid. 4.3 et les références citées). La définition de la qualité pour recourir de l'art. 20 al. 2 let. a LFAIE est la même que celle des art. 48 let. a de la loi fédérale du 20 décembre 1968 sur la procédure administrative (PA; RS 172.021) et 103 let. a de l'ancienne loi fédérale d'organisation judiciaire du 16 décembre 1943 (RS 3 521; en vigueur jusqu'au 31 décembre 2006), même si, contrairement à ces normes, elle ne contient pas explicitement la condition que l'intéressé soit "atteint" ou "touché" par la décision attaquée (ATF 131 II 649 consid. 3.1 p. 651). Selon la jurisprudence,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(ATF 131 II 649 précité; cf. aussi ATF 135 II 145 consid. 6.1 p. 150; 133 II 400 consid. 2.2 p. 404 s. et les arrêts cités). D'une manière générale, la jurisprudence et la doctrine n'admettent que de manière relativement stricte la présence d'un intérêt propre et direct lorsqu'un tiers désire recourir contre une décision dont il n'est pas le destinataire (cf. ATF 124 II 499 consid. 3b p. 504/505 et les nombreuses références citées). La qualité pour recourir au sens de l'art. 20 al. 2 let. a LFAIE a été niée dans le cas d'un locataire qui avait demandé de constater que son nouveau bailleur était devenu propriétaire de l'appartement en violation des dispositions de la LFAIE. Le locataire voulait en effet obtenir une décision de refus d'autorisation, afin de faire ensuite constater la nullité du contrat de bail et de pouvoir en conclure un nouveau avec un propriétaire "plus accommodant". Il n'avait ainsi pas un intérêt direct et concret suffisant à l'annulation ou à la modification de la décision entreprise (ATF 131 II 649 consid. 3.4 p. 653 s.). Le Tribunal fédéral a également dénié à un notaire la qualité pour recourir contre une décision constatant d’office l'assujettissement au régime de l’autorisation et refusant l'autorisation d’acquérir. Si le recourant disposait bien d'un certain intérêt à ce que la décision soit annulée, dans la mesure où celle-ci mettait à néant les actes instrumentés par lui, ce qui était de nature à engager sa responsabilité à l'égard de ses mandants, son intérêt était toutefois seulement indirect du moment que la décision - dans son dispositif - ne se prononçait pas sur sa responsabilité. Dans ces conditions, il n'avait pas la qualité pour recourir contre cette décision, au sens de l'art. 20 al. 2 let. a LFAIE. Il lui appartenait, le cas échéant, d'user de ses moyens de défense dans le cadre des procédures portant sur sa responsabilité civile et pénale (arrêt TF 2C_621/2009 du 23 septembre 2010 consid. 4.3). 3.         a) En l'espèce, les recourants soutiennent qu’ils ont un intérêt digne de protection à agir devant la Commission foncière II aux fins de faire constater que l’acte du 24 janvier 2012 par lequel E.________ SA et D.________ SA ont consenti à G.________ SA un droit d’emption sur les parcelles 3******** et 4******** de la Commune de Signy-Avenex et ********, 1******** et 2******** de la Commune de Grens n’est pas conforme aux conditions posées par la législation sur l’acquisition d’immeubles par des personnes à l’étranger. Ils relèvent que cet acte subordonne l’exécution de la promesse de vente sur les parcelles en cause à l’autorisation de la Commission foncière II ou la constatation du non-assujettissement de la transaction au régime de l’autorisation, ceci dans un délai échéant au 30 juin 2015, à défaut de quoi la promesse de vente serait considérée comme nulle et non avenue. Les recourants font ainsi valoir que, dans l’éventualité où l’acte du 24 janvier 2012 deviendrait nul au motif que la condition précitée n'est pas remplie dans le délai imparti, ils pourraient exercer sur les mêmes parcelles leur propre droit d’emption résultant de l’acte notarié du 28 juillet 2011 modifié le 29 septembre suivant, droit actuellement de rang inférieur à celui de G.________ SA. b) On ne saurait contester que les recourants ont un certain intérêt à ce que, en relation avec la promesse de vente à G.________ SA des parcelles 3******** et 4******** de la Commune de Signy-Avenex et ********, 1******** et 2******** de la Commune de Grens conclue le 24 janvier 2012, la Commission foncière II constate l'assujettissement de l'opération à la LFAIE et ne délivre pas l'autorisation requise. Une telle éventualité renforcerait en effet à priori leurs chances d'obtenir l'exécution de la promesse de vente du 28 juillet 2011 portant sur les mêmes parcelles dont ils sont bénéficiaires. Néanmoins, la décision qui sera rendue par la Commission foncière ne saurait avoir pour conséquence de " valider ipso facto " le droit d’emption qui leur a été conféré sur ces parcelles par acte des 28 juillet et 29 septembre 2011. Leur intérêt à intervenir dans la procédure devant l'autorité intimée est dès lors tout au plus de nature indirecte. A cet égard, leur situation est comparable à celle du notaire dans l'affaire qui a fait l'objet de l'arrêt du Tribunal fédéral 2C_621/2009. Dans ces circonstances, l’intérêt invoqué par les recourants n’apparaît pas suffisamment direct et concret pour leur reconnaître la qualité de partie devant l’autorité intimée. 4.                Au vu de ce qui précède, le recours doit être rejeté et la décision attaquée confirmée. Vu le sort du recours, les frais de la cause sont mis à la charge des recourants, qui succombent. Ceux-ci verseront en outre des dépens aux tiers intéressés D.________ SA, E.________ SA et F.________ Sàrl, qui ont procédé en commun par l'intermédiaire d'un mandataire professionnel, ainsi qu’au tiers intéressé G.________ SA, qui a également procédé par l'intermédiaire d'un mandataire professionnel. L’émolument et les dépens mis précédemment à la charge du recourant L.________ ont été déduits dans le calcul de ces montants.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