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FO.2012.0015 vom 22. März 2013</w:t>
      </w:r>
    </w:p>
    <w:p>
      <w:r>
        <w:t>VD Tribunal cantonal, 2013-03-22, FR</w:t>
      </w:r>
    </w:p>
    <w:p>
      <w:r>
        <w:rPr>
          <w:b/>
        </w:rPr>
        <w:t xml:space="preserve">Quelle: </w:t>
      </w:r>
      <w:r>
        <w:t>https://mcp.opencaselaw.ch/entscheid/vd_omni_FO.2012.0015</w:t>
      </w:r>
    </w:p>
    <w:p>
      <w:r>
        <w:t>FR: VD_OMNI FO.2012.0015 du 22 mars 2013</w:t>
      </w:r>
    </w:p>
    <w:p>
      <w:r>
        <w:t>IT: VD_OMNI FO.2012.0015 del 22 marzo 2013</w:t>
      </w:r>
    </w:p>
    <w:p>
      <w:pPr>
        <w:pStyle w:val="Heading2"/>
      </w:pPr>
      <w:r>
        <w:t>Regeste</w:t>
      </w:r>
    </w:p>
    <w:p>
      <w:r>
        <w:t>X.________ /Département de l'intérieur, DOMICIM, Unité logement | Augmentation du loyer d'un appartement qui fait l'objet d'un contrôle du loyer et pour lequel des mesures d'encouragement sont prises. Contestation de la hausse de loyer, au motif que celui-ci procure au bailleur un rendement abusif au sens de l'art. 269 CO, sa fixation selon la LL et le RLL contrevenant au surplus au principe de la force dérogatoire du droit fédéral. Les réglementations cantonales, qui poursuivent un but d'intérêt public différent de celui du droit civil fédéral sont admissibles, à condition toutefois, dans le domaine du bail à loyer, qu'elles ne visent pas à réglementer la relation entre bailleur et locataire. Bien que l'art. 2 al. 2 OBLF, qui précise le contenu de l'art. 253b al. 3 CO, contienne un renvoi à l'art. 269 CO, il n'impose pas, à tous les stades du contrôle du montant du loyer, l'application de l'art. 269 CO, y compris le calcul du rendement. L'art. 270a CO, qui régit la contestation de l'augmentation de loyer en cours de bail ne figure en effet pas dans l'énumération de l'art. 2 al. 2 OBLF. En cas d'augmentation de loyer en cours de bail, l'UL n'a dès lors pas à procéder à un calcul de rendement selon l'art. 269 CO. Recours au Tribunal fédéral admis partiellement (ATF 1C_500/2013 du 25.09.2014).</w:t>
      </w:r>
    </w:p>
    <w:p>
      <w:pPr>
        <w:pStyle w:val="Heading2"/>
      </w:pPr>
      <w:r>
        <w:t>Erwägungen</w:t>
      </w:r>
    </w:p>
    <w:p>
      <w:r>
        <w:rPr>
          <w:b/>
        </w:rPr>
        <w:t>E. 1</w:t>
      </w:r>
    </w:p>
    <w:p>
      <w:r>
        <w:t>L'Etat et les communes, en complément des démarches relevant de la responsabilité individuelle et de l'initiative privée, veillent à ce que toute personne puisse disposer d'un logement approprié à des conditions supportables.</w:t>
      </w:r>
    </w:p>
    <w:p>
      <w:r>
        <w:rPr>
          <w:b/>
        </w:rPr>
        <w:t>E. 2</w:t>
      </w:r>
    </w:p>
    <w:p>
      <w:r>
        <w:t>Ils encouragent la mise à disposition de logements à loyer modéré et la création d'un système d'aide personnalisée au logement.</w:t>
      </w:r>
    </w:p>
    <w:p>
      <w:r>
        <w:rPr>
          <w:b/>
        </w:rPr>
        <w:t>E. 3</w:t>
      </w:r>
    </w:p>
    <w:p>
      <w:r>
        <w:t>Sur le vu de ce qui précède, le renvoi de l'art. 2 al. 2 OBLF à l'art. 269 CO, qui définit la notion de loyers abusifs, ne peut être compris dans le sens que lui donne la recourante en se référant à l'ATF 124 III 463 précité, en ce sens qu'il imposerait, à tous les stades du contrôle du montant du loyer, l'application de l'art. 269 CO, y compris le calcul du rendement. Dès lors que l'art. 270a CO, qui régit la contestation de l'augmentation de loyer en cours de bail que le locataire tiendrait pour abusive, ne figure pas dans l'énumération de l'art. 2 al. 2 OBLF, cette disposition ne s'applique pas devant l'autorité administrative. Le renvoi que fait l'art. 2 al. 2 OBLF à l'art. 269 CO doit être interprété en ce sens qu'il garantit uniquement que les augmentations de loyer des logements subventionnés soient soumis à un contrôle, afin d'éviter qu'elles présentent un caractère abusif (Higi, N.86 ad art. 253b CO; Weber, BSK, N.10 ad art. 253b CO), ce qui est le cas en l'espèce. La contradiction entre l'art. 253b al. 3 CO et l'art. 2 al. 2 OBLF n'est ainsi qu'apparente. Il s'ensuit que l'UL n'a pas à procéder à un calcul du rendement selon les art. 269 et 270a CO.</w:t>
      </w:r>
    </w:p>
    <w:p>
      <w:r>
        <w:rPr>
          <w:b/>
        </w:rPr>
        <w:t>E. 4</w:t>
      </w:r>
    </w:p>
    <w:p>
      <w:r>
        <w:t>Les demandes de production de pièces formulées par la recourante sont liées au calcul du rendement selon le droit fédéral. Celui-ci ne s'appliquant pas, il n'est pas nécessaire d'ordonner ces mesures.</w:t>
      </w:r>
    </w:p>
    <w:p>
      <w:r>
        <w:rPr>
          <w:b/>
        </w:rPr>
        <w:t>E. 5</w:t>
      </w:r>
    </w:p>
    <w:p>
      <w:r>
        <w:t>Le recours doit ainsi être rejeté, et la décision attaquée confirmée. Les frais sont mis à la charge de la recourante (art. 49 al. 1, 1 ère phrase de la loi du 28 octobre 2008 sur la procédure administrative – LPA-VD; RSV 173.36).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