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FO.2011.0020 vom 29. Dezember 2011</w:t>
      </w:r>
    </w:p>
    <w:p>
      <w:r>
        <w:t>VD Tribunal cantonal, 2011-12-29, FR</w:t>
      </w:r>
    </w:p>
    <w:p>
      <w:r>
        <w:rPr>
          <w:b/>
        </w:rPr>
        <w:t xml:space="preserve">Quelle: </w:t>
      </w:r>
      <w:r>
        <w:t>https://mcp.opencaselaw.ch/entscheid/vd_omni_FO.2011.0020</w:t>
      </w:r>
    </w:p>
    <w:p>
      <w:r>
        <w:t>FR: VD_OMNI FO.2011.0020 du 29 décembre 2011</w:t>
      </w:r>
    </w:p>
    <w:p>
      <w:r>
        <w:t>IT: VD_OMNI FO.2011.0020 del 29 dicembre 2011</w:t>
      </w:r>
    </w:p>
    <w:p>
      <w:pPr>
        <w:pStyle w:val="Heading2"/>
      </w:pPr>
      <w:r>
        <w:t>Regeste</w:t>
      </w:r>
    </w:p>
    <w:p>
      <w:r>
        <w:t>X.____________ c/Commission foncière rurale Section I, Y.____________, A.Z.____________, B.Z.____________ | Le procédé consistant, pour le propriétaire de terrains agricoles qui n'entend pas les exploiter lui-même, d'en morceler une partie, comprenant des bâtiments d'habitation, en vue de vendre la partie détachée à des tiers qui ne sont pas exploitants agricoles, ne constitue pas, en soi, une fraude à la loi par élusion de la LDFR, lorsque les conditions du morcellement sont remplies. Le tiers, exploitant agricole désireux de racheter la totalité des terrains litigieux, ne dispose pas d'un droit à leur attribution (consid. 6). Recours au TF rejeté dans la mesure de sa recevabilité (ATF 2C_121/2012 du 2 juillet 2012).</w:t>
      </w:r>
    </w:p>
    <w:p>
      <w:pPr>
        <w:pStyle w:val="Heading2"/>
      </w:pPr>
      <w:r>
        <w:t>Erwägungen</w:t>
      </w:r>
    </w:p>
    <w:p>
      <w:r>
        <w:rPr>
          <w:b/>
        </w:rPr>
        <w:t>E. 1</w:t>
      </w:r>
    </w:p>
    <w:p>
      <w:r>
        <w:t>Il convient préalablement de circonscrire l’objet du recours. a) Devant la juridiction administrative, ne peuvent être examinés et jugés, en principe, que les rapports juridiques à propos desquels l’autorité administrative s’est prononcée préalablement, d’une manière qui la lie sous forme de décision, exprimée dans son dispositif. Dans cette mesure, la décision détermine l’objet de la contestation qui peut être déférée en justice par la voie du recours. L’objet du litige peut être réduit devant l’autorité de recours, mais pas étendu, ni modifié (ATF 136 II 165 consid. 5 p. 174, 457 consid. 4.2 p,. 462/463; 136 V 362 consid. 3.4.2 p. 365). Le juge administratif n’entre pas en matière sur des conclusions qui vont au-delà de l’objet du litige qui lui est soumis (ATF 134 V 418 consid. 5.2.1 p. 426; 125 V 413 consid. 1a p. 414, et les références citées). b) Comme objet du recours, le recourant a désigné celle rendue le 19 août 2011 par la Commission foncière, autorisant la soustraction au droit foncier rural d’une emprise de 2'902 m</w:t>
      </w:r>
    </w:p>
    <w:p>
      <w:r>
        <w:rPr>
          <w:b/>
        </w:rPr>
        <w:t>E. 2</w:t>
      </w:r>
    </w:p>
    <w:p>
      <w:r>
        <w:t>Il se pose la question de savoir si le recourant a qualité pour agir. a) Celle-ci s’examine au regard de l’art. 83 al. 3 LDFR, aux termes duquel peuvent recourir devant l’autorité cantonale de recours: les parties contractantes, contre le refus de l’autorisation; l’autorité cantonale de surveillance, le fermier et les titulaires du droit d’emption, du droit de préemption ou du droit à l’attribution, contre l’octroi de l’autorisation. La qualité pour agir est définie exclusivement par l’art. 83 al. 3 LDFR, et non par le droit cantonal (ATF 129 III 583 consid. 3.1 p. 585/586). L’art. 75 LPA-VD, invoqué par le recourant, ne s’applique partant pas. b) Les intentions des tiers intéressés ont évolué. Dans un premier temps, a été envisagée la solution consistant pour Y.________ à vendre les parcelles n°********, 1******** et 2******** aux époux Z.________, en un seul lot. Cela s’est concrétisé par la promesse de vente du 26 novembre 2010, la demande d’autorisation d’acquérir au sens de l’art. 64 al. 1 let. f LDTR et l’appel d’offres publié dans la FAO des</w:t>
      </w:r>
    </w:p>
    <w:p>
      <w:r>
        <w:rPr>
          <w:b/>
        </w:rPr>
        <w:t>E. 4</w:t>
      </w:r>
    </w:p>
    <w:p>
      <w:r>
        <w:t>Le recourant reproche à la Commission foncière de ne l’avoir pas tenu comme partie à la procédure ouverte devant elle, et d’avoir violé les droits attachés à cette qualité. a) Aux termes de l’art. 13 al. 1 LPA-VD, ont qualité de partie dans la procédure administrative les personnes susceptibles d’être atteintes par la décision à prendre et qui participent à la procédure (let. a); les personnes ou autorités auxquelles la loi confère la qualité de partie (let. b); les personnes ou autorités qui disposent d’un moyen de droit contre la décision attaquée (let. c); les personnes intervenant dans une procédure d’enquête publique ou de consultation (let. d). L’autorité peut, d’office ou sur requête, appeler en cause ou autoriser l’intervention de personnes qui pourraient avoir qualité de partie au sens de l’art. 13 LPA-VD (art. 14 LPA-VD). b) Dès lors qu’elle pouvait considérer, sans violer la LDFR, que la procédure d’appel d’offres n’était pas allée à son terme (cf. consid. 6 ci-dessous), privant du même coup de son objet l’offre présentée le 19 janvier 2011 par le recourant, la Commission foncière n’avait pas de raisons de tenir le recourant comme une partie à la procédure qui a conduit au prononcé de la décision du 19 août 2011, au sens de l’art. 13 al. 1 let. a LPA-VD. Pour le surplus, le recourant n’entre pas dans l’une ou l’autre des catégories visées à l’art. 13 al. 1 let. b, c et d LPA-VD. On ne saurait enfin reprocher à la Commission foncière de ne pas avoir attrait le recourant à la procédure selon l’art. 14 LPA-VD. N’étant pas partie aux procédures ouvertes devant la Commission foncière, le recourant ne peut pas se plaindre de ne pas en avoir été informé, ni invité à se déterminer à leur propos.</w:t>
      </w:r>
    </w:p>
    <w:p>
      <w:r>
        <w:rPr>
          <w:b/>
        </w:rPr>
        <w:t>E. 5</w:t>
      </w:r>
    </w:p>
    <w:p>
      <w:r>
        <w:t>Le recourant fait valoir qu’à raison de sa proximité avec Me Niklaus, qui a présenté les demandes d’Y.________ et préside la Commission foncière, celle-ci aurait dû se récuser spontanément. En ne le faisant pas, elle aurait violé les art. 29 et 30 Cst. a) La Commission foncière rurale, section I, est l’autorité cantonale chargée notamment des autorisations au sens des art. 60, 63, 64 et 65 LDFR; elle est également compétente pour autoriser les mentions au sens de l’art. 86 LDFR (art. 5 de la loi d’application de la LDFR, du 13 septembre 1993 - LVLDFR, RSV 211.42; art. 3 al. 1 du règlement d’application de la LVLDFR, du 10 décembre 1993 – RLVLDFR, RSV 211.42.1, mis en relation avec l’art. 10 LVLDFR). Composée de cinq à sept membres nommés par le Conseil d’Etat pour la durée d’une législature (art. 7 LVLDFR), la Commission foncière est une autorité administrative au sens de l’art. 4 LPA-VD, de nature collégiale. b) Aux termes de l’art. 11 LPA-VD, l’autorité collégiale statue sur les demandes de récusation visant un ou plusieurs de ses membres (al. 1); l’autorité de recours statue sur les demandes de récusation visant l’ensemble d’une autorité ou la majorité de ses membres (al. 2). Dès lors que le recourant met en doute l’impartialité de la Commission foncière, prise dans son ensemble, il appartient au Tribunal cantonal, comme autorité de recours des décisions de la Commission foncière (art. 92 al. 1 LPA-VD), d’en décider (cf. arrêts GE.2011.0030 du 5 juillet 2011, consid. 2a; GE.2010.0001 du 21 octobre 2010, consid. 4). c) Celui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lorsque le plaideur procède devant un juge ou une autorité en connaissance des faits pouvant justifier une récusation; en effet, l'intéressé accepte ainsi, de manière tacite, que la personne récusable exerce ses fonctions (ATF 134 I 20 consid. 4.3.1 p. 21; 132 II 485 consid. 4.3 p. 496/497; arrêts GE.2011.0030, précité, consid. 4b; GE.2010.0013 du 3 février 2011, consid. 4; GE.2008.0070 du 15 mai 2009, consid. 2).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En l’occurrence, le fait que Me Roland Niklaus, notaire, préside la Commission foncière rurale, section I, est notoire. Il suffit pour cela de consulter le site Internet de l’Etat de Vaud (Economie/Agriculture/Fermage &amp; Droit foncier rural/Droit foncier rural), sur lequel figure l’indication que la Commission foncière est l’autorité cantonale compétente en matière de droit foncier rural, et qu’elle est présidée par Me Niklaus. Le 2 février 2011, le recourant s’est adressé à la Commission foncière pour faire valoir son point de vue. Dans ce courrier, il a mentionné le nom de Me Niklaus comme mandataire des époux Z.________ et signalé qu’il préside la Commission foncière. Il en a fait de même dans un courrier adressé le 6 juin 2011 au Chef du Département de l’économie. Ainsi, dès février 2011, le recourant connaissait le fait qu’il allègue à l’appui de son grief. S’il faut considérer que le recours contient une demande de récusation de la Commission foncière en corps, cette requête est tardive au regard de la jurisprudence qui vient d’être rappelée, partant irrecevable (cf. arrêts FO.2010.0027 du 19 août 2011, consid. 1b, et GE.2011.0030, précité, consid. 4b).</w:t>
      </w:r>
    </w:p>
    <w:p>
      <w:r>
        <w:rPr>
          <w:b/>
        </w:rPr>
        <w:t>E. 6</w:t>
      </w:r>
    </w:p>
    <w:p>
      <w:r>
        <w:t>Selon le recourant, l’exclusion de son offre du 19 janvier 2011 aurait pour effet d’éluder la LDFR et constituerait une fraude à la loi. a) Sont nuls les actes juridiques qui contreviennent aux interdictions de partage matériel, de morcellement des immeubles ou aux dispositions relatives notamment à l’acquisition des entreprises et des immeubles agricoles, ou qui visent à les éluder (art. 70 LDFR). La fraude à la loi revient à violer une interdiction légale en recourant à un moyen apparemment légitime pour atteindre un résultat prohibé; elle consiste, lorsqu’une disposition interdit un acte juridique ou le déclare nul, à se servir d’une autre disposition (norme éludante), pour tourner la première (norme d’interdiction, éludée). Pour décider s’il y a fraude à la loi, il faut interpréter la norme d’interdiction en recherchant si, selon son sens et son but, elle s’applique aussi à l’opération litigieuse, ou si elle l’exclut de son champ d’application (ATF 132 III 212 consid. 4.1 p. 219-220 ; cf. arrêt FO.2006.0017 du 19 juin 2007 ). En l’occurrence, la norme d’interdiction est celle de l’art. 63 al. 1 let. a LDFR, qui prohibe l’acquisition d’une entreprise ou d’un immeuble agricole lorsque l’acquéreur n’est pas exploitant à titre personnel. b) L’argumentation du recourant est de deux ordres. Premièrement, les époux Z.________ auraient exercé des pressions sur Y.________, afin de l’obliger à leur vendre son domaine, puis de l’empêcher de renoncer à ce projet. Aidés en sous-main par Me Niklaus, ils auraient contraint Y.________ à ouvrir la procédure de soustraction de l’emprise de la parcelle n°********, correspondant à la maison d’habitation et à ses abords, de manière à exclure le recourant comme acquéreur de l’entier du domaine. Deuxièmement, selon le recourant, les manœuvres orchestrées par les époux Z.________ auraient conduit à une élusion de la LDFR, en violation des droits que cette loi protège. aa) S’agissant du premier point, la thèse du recourant repose sur des conjectures. Il prête aux différents protagonistes de l’affaire des intérêts et des intentions qui restent invérifiables. Il n’appartient pas au Tribunal de sonder les reins et les cœurs, mais de s’en tenir aux faits, tels qu’ils ressortent des actes des uns et des autres. Sans doute, l a démarche des tiers intéressés n’a-t-elle pas été rectiligne. On peut s’étonner que les époux Z.________, qui n’ont aucune capacité agricole, aient pu envisager dans un premier temps d’acquérir la totalité des parcelles agricoles du domaine de Y.________, d’une surface totale de 38'978 m 2 , pour le prix de 2'000'000 fr. Une telle démarche était vouée à l’échec d’emblée. On ne saurait cependant y voir le signe (voire même la preuve) d’une volonté de violer la LDFR. Il est possible que l’offre formulée le 19 janvier 2011 par le recourant (et, semble-t-il, d’autres offres présentées par des exploitants à titre personnel), portant sur un prix supérieur, aient conduit les tiers intéressés à changer de fusil d’épaule, et opter pour le morcellement de la parcelle n°********, afin d’en extraire le seul objet qui les intéresse, soit le bâtiment n° 4********, et, dans une très moindre mesure, le bâtiment n° 3********, puis de vendre au fermier le solde des terrains, pour un prix de l’ordre de 200'000 fr. (soit dix fois moins que ce qui était convenu dans l’acte du 26 novembre 2010). Ce revirement – dont les tiers intéressés ne se cachent pas, au demeurant - peut objectivement susciter certains doutes, de même que l’attitude ambiguë d’Y.________, telle qu’elle ressort notamment de certains échanges de correspondance électronique, produits au dossier par le recourant. Quoi qu’il en soit, il est constant que la procédure d’appel d’offres a été interrompue; qu’elle n’a pas donné lieu à une demande formelle devant la Commission foncière; qu’Y.________ a saisi celle-ci, le 12 avril 2011, d’une demande de soustraction à la LDFR d’une emprise de la parcelle n°********, puis, le 29 août 2011, d’une demande d’autorisation de vente du solde de la parcelle n°********, ainsi que des parcelles n°1******** et 2********; qu’Y.________, représenté dans la présente procédure, n’a pas confirmé les assertions du recourant, selon lesquelles ces opérations ne correspondraient pas à sa volonté. Pour le surplus, si l’intention réelle d’Y.________ était de vendre son domaine au recourant, on ne voit pas ce qui aurait pu l’empêcher de le faire d’emblée. bb) S’agissant du second point, le recourant se prévaut d’un droit à l’attribution des terrains litigieux. Cet argument se fonde sur la prémisse que la procédure d’appel d’offres se serait poursuivie. Or, tel n’a pas été le cas. Comme cela ressort du dossier, les tiers intéressés ont abandonné l’option initiale de l’acquisition par les époux Z.________ de la totalité des parcelles n°********, 1******** et 2********, pour se rabattre sur la solution consistant à morceler la parcelle n°********, en vue de soustraire à l’application de la LDFR une portion de 2'902 m2 détachée de ce bien-fonds. La procédure d’autorisation au sens de l’art. 64 LDFR, qui permet, dans certains cas, de déroger au principe de l’exploitation à titre personnel, a ainsi été interrompue. Dès lors, le recours ne porte plus sur l’offre présentée le 19 janvier 2011 par le recourant, puisque la procédure d’appel d’offres est restée sans suite, mais uniquement sur le morcellement accordé par la Commission foncière le 19 août 2011. L’autorisation de vente du 1 er septembre 2011 fait l’objet d’une procédure séparée (FO.2011.0028). On ne voit pas en quoi cette opération, qui ouvre la perspective de l’acquisition des bâtiments n°3******** et 4******** par les tiers intéressés, aurait été conduite en violation de la LDFR. Le Département lui-même, comme autorité de surveillance, ne s’y est pas opposé. c) Le grief tiré de la fraude à la loi est mal fondé.</w:t>
      </w:r>
    </w:p>
    <w:p>
      <w:r>
        <w:rPr>
          <w:b/>
        </w:rPr>
        <w:t>E. 7</w:t>
      </w:r>
    </w:p>
    <w:p>
      <w:r>
        <w:t>Le recours est ainsi irrecevable. Les frais en sont mis à la charge du recourant, ainsi qu’une indemnité à titre de dépens, en faveur des époux Z.________ (art. 49 et 55 LPA-VD). Il n’y a pas lieu d’allouer des dépens à Y.________, agissant par l’entremise d’un mandataire, car il s’en est remis à justice sur le sort du recours. Le présent arrêt est notifié à l’Office fédéral de la justice (cf. art. 5 ODFR).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