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FO.2011.0015 vom 13. Oktober 2011</w:t>
      </w:r>
    </w:p>
    <w:p>
      <w:r>
        <w:t>VD Tribunal cantonal, 2011-10-13, FR</w:t>
      </w:r>
    </w:p>
    <w:p>
      <w:r>
        <w:rPr>
          <w:b/>
        </w:rPr>
        <w:t xml:space="preserve">Quelle: </w:t>
      </w:r>
      <w:r>
        <w:t>https://mcp.opencaselaw.ch/entscheid/vd_omni_FO.2011.0015</w:t>
      </w:r>
    </w:p>
    <w:p>
      <w:r>
        <w:t>FR: VD_OMNI FO.2011.0015 du 13 octobre 2011</w:t>
      </w:r>
    </w:p>
    <w:p>
      <w:r>
        <w:t>IT: VD_OMNI FO.2011.0015 del 13 ottobre 2011</w:t>
      </w:r>
    </w:p>
    <w:p>
      <w:pPr>
        <w:pStyle w:val="Heading2"/>
      </w:pPr>
      <w:r>
        <w:t>Regeste</w:t>
      </w:r>
    </w:p>
    <w:p>
      <w:r>
        <w:t>Commune de Gland/Commission foncière, X.________ | Recours de la commune contre une décision de non assujettissement à la LFAIE en faveur d'une personne morale étrangère ayant acquis un immeuble servant d'établissement stable (art. 2 al. 2 let. a LFAIE). La qualité pour recourir conférée à la commune par l'art. 20 al. 2 let. c LFAIE vise à l'autoriser à examiner si les prescriptions de la LFAIE en vue de contrôler l'emprise étrangère sur son territoire sont respectées. Elle ne lui octroie en revanche pas le pouvoir de contrôler le bien-fondé du transfert de propriété sous l'angle du droit privé. En adoptant des réglementations particulières, les cantons et les communes ont la possibilité de prévoir des restrictions supplémentaires et viser d'autres buts tels que l'encouragement à l'activité économique, l'aménagement du territoire et la protection de l'environnement. A défaut d'une telle réglementation ou de plans d'affectation, la commune ne peut contester la décision de la Commission foncière II au motif que la parcelle serait grevée d'une servitude. Dès lors que la décision respecte les dispositions de la LFAIE, il n'appartient pas à la CDAP d'examiner l'assiette de la servitude et d'en contrôler le respect. Recours rejeté.</w:t>
      </w:r>
    </w:p>
    <w:p>
      <w:pPr>
        <w:pStyle w:val="Heading2"/>
      </w:pPr>
      <w:r>
        <w:t>Erwägungen</w:t>
      </w:r>
    </w:p>
    <w:p>
      <w:r>
        <w:rPr>
          <w:b/>
        </w:rPr>
        <w:t>E. 1</w:t>
      </w:r>
    </w:p>
    <w:p>
      <w:r>
        <w:t>Conformément à l'art. 20 al. 2 let. c de la loi fédérale du 16 décembre 1983 sur l'acquisition d'immeubles par des personnes à l'étranger (LFAIE; RS 211.412.41), la commune sur le territoire de laquelle l'immeuble est sis a qualité pour recourir, lorsqu'il s'agit d'autorisation ou d'une décision constatant qu'aucune autorisation n'est requise ou révoquant une charge. La municipalité exerce le droit de recours de la commune (art. 13 de la loi vaudoise d'application de la LFAIE; RSV 211.51). En conséquence, la Commune de Gland est habilitée à agir. Respectant en outre les conditions formelles, son recours est recevable.</w:t>
      </w:r>
    </w:p>
    <w:p>
      <w:r>
        <w:rPr>
          <w:b/>
        </w:rPr>
        <w:t>E. 2</w:t>
      </w:r>
    </w:p>
    <w:p>
      <w:r>
        <w:t>a) Selon l’art. 2 al. 1 LFAIE, l’acquisition d’immeubles par des personnes à l’étranger est subordonnée à une autorisation de l’autorité cantonale compétente. Selon l’art. 2 al. 2 let. a LFAIE, l’autorisation n’est pas nécessaire si l’immeuble sert d’établissement stable pour faire le commerce, exploiter une fabrique ou exercer en la forme commerciale quelqu’autre industrie ainsi que pour exercer une activité artisanale ou une profession libérale (par exemple, les immeubles servant de fabrique, de dépôt et d'entrepôt, de bureau, de centre commercial, de magasin de vente, d'hôtel, de restaurant, d'atelier d'artisanat, de cabinet médical; cf. Office fédéral de la justice, Aide-Mémoire, Berne, 1er juillet 2009, p. 5). Peu importe que cette activité soit exercée par l'entreprise de l'acquéreur ou que celui-ci loue ou afferme l'immeuble à un tiers pour l'exercice d'une telle activité. b) En l’occurrence, l’autorité intimée a admis la requête de non assujettissement à la LFAIE présentée par la société acquéreuse, personne morale ayant son siège à l'étranger (art. 5 al. 1 let. b LFAIE). L'immeuble acquis constitué principalement de deux garages souterrains et de places de stationnement en surface servira pour sa partie souterraine à l'entreposage sécurisé des voitures commercialisées, activité dépendant étroitement de celle exercée sur la parcelle 1******** de Nyon par la société Y.________. Le lien entre les deux parcelles ne fait aucun doute et la distance entre elles n'est que relative dans la mesure où il s'agit de stocker des véhicules qui peuvent aisément être déplacés d'une parcelle à l'autre. C'est à juste titre que l'autorité intimée a admis que l'exploitation de la parcelle acquise est liée à l'établissement stable de base (art. 2 al. 2 let. a LFAIE) et il n'y a pas lieu de remettre en cause la décision de l'autorité intimée sous l'angle des prescriptions de la LFAIE.</w:t>
      </w:r>
    </w:p>
    <w:p>
      <w:r>
        <w:rPr>
          <w:b/>
        </w:rPr>
        <w:t>E. 3</w:t>
      </w:r>
    </w:p>
    <w:p>
      <w:r>
        <w:t>Le recours se fonde sur la servitude d'utilisation de places de stationnement grevant la parcelle nouvellement acquise. La recourante allègue que la servitude s'étend aussi bien aux places de parc intérieures qu'extérieures et qu'elle constitue un obstacle empêchant de considérer que la parcelle ******** de Gland est liée à l'exploitation de la parcelle 1******** de Nyon, alors qu'elle l'est au profit de la parcelle 3******** de Gland. La société tierce intéressée affirme quant à elle que seules les places de stationnement extérieures sont concernées et qu'elle n'entend pas remettre en cause ladite servitude n'ayant l'utilité que des places intérieures. a) Selon le principe fondamental de la LFAIE énoncé à son article 1 er , le contrôle des acquisitions d'immeubles par des personnes à l'étranger vise à prévenir l'emprise étrangère sur le sol suisse. C'est même le seul et unique objectif visé par cette législation (Urs Mühlebach/Hanspeter Geissmann, Kommentar zum Bundesgesetz über den Erwerb von Grundstücken durch Personen im Ausland, Brugg/Baden 1986, § 1-2 ad art. 1 p. 13; dans le même sens, Message du Conseil fédéral du 16 septembre 1981, FF 1981 III 553 dans lequel on explique que la loi se borne à la lutte contre l'emprise étrangère sur le sol national et qu'elle ne vise plus d'autres buts, comme ceux touchant à l'économie ou à l'aménagement du territoire [pp. 554 et 586-587]). Certes, les art. 11 al. 4 et 13 LFAIE confèrent aux cantons - et dans une certaine mesure aux communes (cf. art. 13 al. 2 LFAIE) - la possibilité d'édicter des restrictions supplémentaires à l'acquisition de la propriété immobilière ou à celle de droits assimilés. Par le biais de ces réglementations, d'autres buts tels que l'encouragement à l'activité économique, l'aménagement du territoire et la protection de l'environnement peuvent être visés (Urs Mühlebach/Hanspeter Geissmann, op. cit., § 2 ad art. 1 p. 13). Cependant, en aucun cas la LFAIE n'a pour vocation de jouer le rôle d'un organe moteur dans le domaine de l'aménagement du territoire (Message précité, p. 587). b) Sans alléguer la moindre disposition réglementaire, la recourante prétend que la " servitude d'utilisation des places de parc créée en 1982 était bien destinée à permettre le nombre de places réglementaires de stationnement pour l'immeuble 6******** ". Force est de constater qu'aucun élément du dossier ne permet d'établir l'existence de plans et ou de règlements d'affectation communaux qui imposeraient la création de places de stationnement (cf. art. 47 al. 2 ch. 6 de la loi vaudoise sur l'aménagement du territoire et les constructions [LATC; RSV 700.11]; cf. pour un exemple arrêt AC.2009.0008 du 15 mai 2009). Aussi, ce n'est que sous l'angle des règles de droit privé que la servitude d'utilisation des places de parc doit être examinée. Or, on ne saurait ainsi déduire de la qualité octroyée à la commune pour recourir (art. 20 al. 2 let. c LFAIE) que le législateur souhaitait lui conférer les pouvoirs d'examiner le bien-fondé du transfert de propriété sous l'angle du droit privé. La compétence octroyée à la commune se borne à examiner si les prescriptions de la LFAIE en vue de contrôler l'emprise étrangère sur son territoire sont respectées. Il serait en effet choquant que la commune ne puisse examiner l'ensemble des règles relevant du droit privé, en vertu de sa compétence spéciale octroyée par l'art. 20 al. 2 let. c LFAIE, qu'en présence d'acquisitions d'immeubles par des personnes à l'étranger et non par celles domiciliées en Suisse. La commune ne peut ainsi saisir l'occasion d'une décision administrative - en l'occurrence bien-fondée (cf. consid. 2) - pour contester des éléments dont elle ne fait pas l'objet. De surcroît, les questions préjudicielles de droit civil ne doivent être résolues dans la procédure administrative que si le droit public renvoie à ce droit, ce qui n'est pas le cas en l'espèce. Il n'appartient ni à l'autorité intimée ni à la Cour de céans d'interpréter l'assiette de la servitude de droit privé et d'en contrôler le respect (cf. arrêts AC.2009.0080 du 9 juin 2010 consid. 2b; AC.2007.0049 du 13 juin 2007 consid. 4; AC.2006.0147 du 29 mars 2007 consid. 11b). Il n'y a pas non plus à attendre que cette question soit tranchée pour statuer sur l'admissibilité de l'acquisition de la propriété immobilière du point de vue du droit public (arrêt AC.2009.0080 précité consid. 2b). On relèvera également que lorsque la municipalité est saisie d'une demande de permis de construire pour un projet (par exemple, l'élaboration de différents travaux en vue de sécuriser le garage) qui s'implante sur l'assiette d'une servitude, elle n'a pas à se préoccuper de l'accord du titulaire de la servitude (arrêt AC.2007.0098 du 20 mai 2008 consid. 6). Enfin, même lorsque le règlement communal impose la construction d'un certain nombre de places de parc comme condition de la délivrance du permis de construire (situation dont on a vu que la commune n'a pas démontré qu'elle serait réalisée en l'espèce), cela ne confère pas pour autant à la municipalité la compétence de régir le sort des places de parc construites en imposant aux constructeurs de les vendre aux acquéreurs des logements ou en obligeant les acquéreurs à en acheter (AC.2009.0008 du 15 mai 2009 déjà cité). Dans la mesure où la décision litigieuse respecte les dispositions de la LFAIE et que la bonne application des servitudes de droit privé ne relève pas de la compétence du tribunal de céans, le grief de la commune recourante tombe à faux.</w:t>
      </w:r>
    </w:p>
    <w:p>
      <w:r>
        <w:rPr>
          <w:b/>
        </w:rPr>
        <w:t>E. 4</w:t>
      </w:r>
    </w:p>
    <w:p>
      <w:r>
        <w:t>Il résulte de ce qui précède que le recours doit être rejeté et la décision du 26 avril 2011 confirmée. Le sort du recours commande qu'un émolument soit mis à la charge de la recourante, celle-ci succombant (art. 48, 49 al. 1, 91 et 99 de la loi du 28 octobre 2008 sur la procédure administrative (LPA-VD; RSV 173.36). En outre, l'autorité intimée n'a pas droit à des dépens (art. 55 al. 1, 56 al. 3, 91 et 99 LPA-VD). La société tiers intéressée qui obtient gain de cause avec l'assistance d'un mandataire professionnel - en l'occurrence un notaire -, a en revanche droit à l'allocation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