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FO.2010.0013 vom 11. Juli 2011</w:t>
      </w:r>
    </w:p>
    <w:p>
      <w:r>
        <w:t>VD Tribunal cantonal, 2011-07-11, FR</w:t>
      </w:r>
    </w:p>
    <w:p>
      <w:r>
        <w:rPr>
          <w:b/>
        </w:rPr>
        <w:t xml:space="preserve">Quelle: </w:t>
      </w:r>
      <w:r>
        <w:t>https://mcp.opencaselaw.ch/entscheid/vd_omni_FO.2010.0013</w:t>
      </w:r>
    </w:p>
    <w:p>
      <w:r>
        <w:t>FR: VD_OMNI FO.2010.0013 du 11 juillet 2011</w:t>
      </w:r>
    </w:p>
    <w:p>
      <w:r>
        <w:t>IT: VD_OMNI FO.2010.0013 del 11 luglio 2011</w:t>
      </w:r>
    </w:p>
    <w:p>
      <w:pPr>
        <w:pStyle w:val="Heading2"/>
      </w:pPr>
      <w:r>
        <w:t>Regeste</w:t>
      </w:r>
    </w:p>
    <w:p>
      <w:r>
        <w:t>Département de l'économie c/Commission foncière, Registre foncier du Pays-d'Enhaut, A.X.________, B.X.________, Municipalité de Rougemont, Y.________ SA | Chalet en cours de construction propriété de ressortissants étrangers soumis à la LFAIE qui désirent revendre leur bien, soumis à des charges LFAIE. Conditions de révocation des charges LFAIE: des allégations relatives à la mauvaise conjoncture économique dans le domaine d'activité des propriétaires du chalet ne suffisent pas à déterminer dans quelle mesure leur situation concrète aurait changé au point de justifier une révocation des charges LFAIE (consid. 2). Nationalité de l'acquéreur: il n'est pas établi en l'espèce que le ressortissant étranger assumant une position dominante au sein de la SA, dont le siège est en Suisse, souhaitant acquérir le chalet, a bien la volonté de constituer durablement son domicile en Suisse. Il apparaît en effet qu'il semble avoir vécu dans son pays d'origine pendant une période indéterminée entre 2007 et 2009, sans que l'on ne sache rien de ses relations avec celui-ci, bien qu'il ait entamé des démarches pour élire domicile en Suisse dès 2009; il n'est ainsi pas possible de déterminer précisément où se trouve le centre de ses intérêts, faute de savoir s'il a bien renoncé à un éventuel domicile ailleurs (consid. 3). Recours du Département de l'économie admis et renvoi du dossier pour complément d'instruction.</w:t>
      </w:r>
    </w:p>
    <w:p>
      <w:pPr>
        <w:pStyle w:val="Heading2"/>
      </w:pPr>
      <w:r>
        <w:t>Erwägungen</w:t>
      </w:r>
    </w:p>
    <w:p>
      <w:r>
        <w:rPr>
          <w:b/>
        </w:rPr>
        <w:t>E. 1</w:t>
      </w:r>
    </w:p>
    <w:p>
      <w:r>
        <w:t>Le tribunal examine d'office et librement la recevabilité des recours qui lui sont soumis. a) Selon l'art. 20 al. 1 de la loi du 16 décembre 1983 sur l'acquisition d'immeubles par des personnes à l'étranger (LFAIE; RS 211.412.41), les décisions des autorités de première instance, soit, dans le canton de Vaud, la Commission foncière, section II (art. 6 al. 1 de la loi cantonale du 19 novembre 1986 sur l'acquisition d'immeubles par des personnes à l'étranger [LVLFAIE; RSV 211.51]), sont sujettes à recours devant l'autorité cantonale de recours, soit la CDAP (art. 20 LVLFAIE en relation avec l'art. 5 de la loi du 28 octobre 2008 sur la procédure administrative [ LPA-VD; RSV 173.36 ] ). b) D'après l'art. 20 al. 2 let. b LFAIE, a qualité pour recourir l'autorité cantonale habilitée à cet effet, soit, dans le canton de Vaud, le Département de l'économie (art. 7 al. 1 LVLFAIE). c) Aux termes de l'art. 20 al. 3 LFAIE, le délai de recours est de trente jours et commence à courir dès la notification de la décision aux parties ou à l'autorité habilitée à recourir. Selon l'art. 96 al. 1 let. a LPA-VD, le délai de recours ne court pas du septième jour avant Pâques au septième jour après Pâques, soit du 28 mars 2010 au 11 avril 2010. La décision attaquée a été envoyée le 26 mars 2010 au Département de l'économie, qui affirme l'avoir reçue le 30 mars 2010, ce qui n'est pas contesté. Commençant à courir le 12 avril 2010, le délai de trente jours échoit le 11 mai 2010. Le recours posté le 5 mai 2010 a donc été déposé en temps utile. Pour le surplus, déposé dans les formes requises, le recours est recevable.</w:t>
      </w:r>
    </w:p>
    <w:p>
      <w:r>
        <w:rPr>
          <w:b/>
        </w:rPr>
        <w:t>E. 2</w:t>
      </w:r>
    </w:p>
    <w:p>
      <w:r>
        <w:t>L'autorité recourante conteste la révocation des charges LFAIE ainsi que l'autorisation délivrée de vendre la parcelle litigieuse à une personne morale apparemment non assujettie à la LFAIE. Elle considère les faits insuffisamment établis par l'autorité intimée. a) Le principe inquisitorial, qui domine la procédure administrative (ATF 111 II 281 consid. 3 p. 284; Pierre Moor/Etienne Poltier, Droit administratif, vol. 2, 3 ème édition, ch. 2.2.6.3. p. 292 et ss), impose à l'autorité d'établir d'office l'ensemble des faits déterminants avant de rendre sa décision (ATF 110 V 48 consid. 4a p. 52 et la jurisprudence citée); elle doit entreprendre elle-même les investigations nécessaires (en requérant au besoin la collaboration des intéressés) pour établir ces faits (Max Imboden/René A. Rhinow, Schweizerische Verwaltungsrechtungsrechtsprechung, n° 88 B 1 p. 550). Lorsque la loi se réfère à des circonstances concrètes précises,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Dans la LFAIE, le principe inquisitorial est mentionné expressément à l'art. 22 al. 1, qui prévoit ce qui suit: " L'autorité de première instance et l'autorité cantonale de recours constatent d'office les faits. Elles ne peuvent se fonder que sur des allégués qu'elles ont vérifiés et sur lesquels elles ont, le cas échéant, réuni les preuves". L'art. 18 al. 3 de l' ordonnance du 1 er novembre 1984 sur l'acquisition d'immeubles par des personnes à l'étranger (OAIE; RS 211.412.411) précise à cet égard que des déclarations générales qui contestent uniquement l'existence des conditions de l'assujettissement au régime de l'autorisation ou qui affirment que les conditions pour obtenir l'autorisation sont remplies, n'ont aucune valeur probante. b) La LFAIE a pour but de prévenir l'emprise étrangère sur le sol suisse (art. 1). Cette loi prévoit ainsi un régime d'autorisation pour toute acquisition d'immeubles par des personnes à l'étranger (art. 2 al. 1 LFAIE). Par personnes à l'étranger, on entend notamment les ressortissants des Etats membres de la Communauté européenne ou de l'Association européenne de libre-échange qui n'ont pas leur domicile légalement constitué et effectif en Suisse (art. 5 al. 1 let. a LFAIE). Selon l'art. 14 al. 1 LFAIE, l ’autorisation est subordonnée à des conditions et des charges destinées à assurer que l’immeuble sera affecté au but dont se prévaut l’acquéreur. L'alinéa 2 de cet article précise que le Conseil fédéral fixe les conditions et les charges minimales, en tant que la présente loi ne le fait pas, ainsi que l’échéance des autorisations. Se fondant sur cette délégation de compétence, le Conseil fédéral a adopté l'art. 11 OAIE . L'alinéa 2 de cet article énumère toute une série de charges, alors que l'alinéa 3 précise que l’autorité de première instance peut prévoir des charges plus sévères pour assurer l’affectation de l’immeuble au but indiqué par l’acquéreur. La charge se définit comme l'obligation de faire, de ne pas faire ou de tolérer quelque chose, qui est imposée à un administré accessoirement à une décision. Elle se distingue de la condition en tant que celle-ci désigne un évènement dont la survenance est incertaine. A la différence de la condition, laquelle agit directement sur l'entrée en force ou l'échéance de la décision qu'elle concerne, l'exécution ou l'inexécution d'une charge n'a pas d'influence directe sur les effets de la décision qu'elle grève, car elle n'est pas un élément nécessaire de celle-ci, mais seulement un complément. Une décision ne devient donc pas inefficace ni ne devient caduque du seul fait qu'une charge n'est pas ou plus respectée: elle continue au contraire à produire ses effets aussi longtemps qu'elle n'a pas fait l'objet d'une révocation (ATF 129 II 361 et la doctrine citée). En cas de non respect de la charge, seule la procédure de révocation de l'autorisation est ouverte conformément à l'art. 25 LFAIE. Il s'agit d'une procédure spécifique qui est distincte de la procédure d'autorisation de vente de l'immeuble, cas échéant, les deux donnant lieu à des décisions distinctes (arrêt FO.2008.0004 du 28 août 2008). c) Une charge peut être révoquée pour des motifs impérieux (art. 14 al. 4 LFAIE). On entend par là une modification des circonstances qui rend l'exécution des charges impossible ou insupportable pour l'acquéreur (art. 11 al. 4 OAIE). La révocation d'une charge est donc subordonnée à deux conditions: premièrement, les circonstances doivent s'être modifiées de façon essentielle et imprévisible depuis la délivrance de l'autorisation; deuxièmement, le changement profond doit avoir produit sur la situation de l'intéressé des effets tels que le maintien et le respect de la charge seraient impossibles ou insupportables (ATF 2C_13/2009 du 19 février 2010; ATF 129 II 361 et références citées). Par ailleurs, la révocation d'une charge ne se justifie pas par le simple fait qu'une société immobilière dominée par des personnes domiciliées à l'étranger envisage de vendre son propre bien-fonds à un sujet de droit suisse; une telle circonstance ne constitue nullement une situation de rigueur extrême (ATF 108 Ib 211; ATF 100 Ib 459; FO.2009.0011 du 21 septembre 2010). d) Dans le cas présent, les tiers intéressés propriétaires des parcelles litigieuses n'ont produit aucune pièce permettant de retenir une modification des circonstances rendant l'exécution des charges impossible ou insupportable pour eux. Ils se sont limités à alléguer des difficultés financières attestées par des coupures de presse relatives à la mauvaise conjoncture économique dans le domaine du transport maritime. De telles pièces ne permettent pas de déterminer dans quelle mesure leur situation concrète avait changé au point de justifier une révocation des charges. Quant au projet de vendre à un tiers prétendument non assujetti, il ne justifie pas sans autre la révocation d'une charge fondée sur la LFAIE. Force est donc de conclure que les conditions d'une révocation des charges, telles que postulées par les art. 14 al. 1 LFAIE et 11 al. 4 OAIE, ne sont pas démontrées en l'espèce. C'est donc à tort que l'autorité intimée à prononcé la révocation totale des charges grevant la parcelle litigieuse, dans sa décision du 19 mars 2010.</w:t>
      </w:r>
    </w:p>
    <w:p>
      <w:r>
        <w:rPr>
          <w:b/>
        </w:rPr>
        <w:t>E. 3</w:t>
      </w:r>
    </w:p>
    <w:p>
      <w:r>
        <w:t>Reste encore à déterminer si le maintien de ces charges fait obstacle au transfert de la propriété des parcelles litigieuses, tel qu'autorisé par la décision attaquée. a) Les charges ont pour but de garantir le respect de la LFAIE par les personnes qui y sont assujetties. Ainsi, si l'acquisition d'un immeuble par une personne à l'étranger, donc assujettie à la LFAIE, est soumise à autorisation selon la LFAIE ainsi qu'aux charges précitées, il n'en va pas de même de l'acquisition d'un immeuble par une personne - physique ou morale - qui n'est pas assujettie à la LFAIE. En effet, dès lors qu'un immeuble passe, dans son entier, aux mains d'une personne qui n'est pas ou plus assujettie à cette législation, les charges perdent leur raison d'être (FO.2009.0011 précité; voir aussi ATF 2C_843/2010 du 1 er mars 2011, consid. 2); elles disparaissent alors naturellement avec le passage de la propriété (Perrig, op. cit., p. 323). b) Selon l'art. 5 al. 1 let. c LFAIE, par personne à l'étranger, on entend notamment les personnes morales ou les sociétés sans personnalité juridique, mais ayant la capacité d'acquérir, qui ont leur siège statutaire et réel en Suisse, et dans lesquelles des personnes à l'étranger ont une position dominante. Ces dernières se définissent notamment comme les ressortissants des Etats membres de la Communauté européenne ou de l'Association européenne de libre-échange qui n'ont pas leur domicile légalement constitué en Suisse (art. 5 al. 1 let. a LFAIE). Cette dernière disposition a été adoptée (cf. la loi fédérale du 14 décembre 2001 in RO 2002 p. 685 ss) pour se conformer à l'Accord entre la Confédération suisse, d'une part, et la Communauté Européenne et ses états membres, d'autre part, sur la libre circulation des personnes conclu le 21 juin 1999 et entré en vigueur le 1 er juin 2002 (ALCP; RS 0.142.112.681). Selon l'art. 25 de l'Annexe I ALCP en effet, le ressortissant d'une partie contractante " qui a un droit de séjour et qui constitue sa résidence principale dans l'état d'accueil bénéficie des mêmes droits qu'un ressortissant national dans le domaine d'acquisition d'immeubles ". L'art. 5 al. 1 let. a LFAIE est précisé par les alinéas 1 et 2 de l'art. 2 OAIE, dont la teneur est la suivante: " 1 Les ressortissants des Etats membres de la Communauté européenne (CE) ou de l'Association européenne de libre-échange (AELE) ne sont pas considérés comme des personnes à l'étranger (art. 5 al. 1 let. a, LFAIE) s'ils ont leur domicile en Suisse au sens des art. 23, 24 al. 1, 25 et 26 du code civil (CC). 2 Le domicile légalement constitué présuppose en outre une autorisation de séjour de courte durée, de séjour ou d'établissement CE/AELE valable (art. 4 al. 1 et 2, et art. 5 de l'ordonnance du 23 mai 2001 sur l'introduction de la libre circulation des personnes, OLC) permettant de créer un domicile". A teneur de l'art. 23 al.1 du Code civil suisse du 10 décembre 1907 (CC; RS 210), le domicile de toute personne " est au lieu où elle réside avec l'intention de s'y établir "; cette notion de domicile volontaire est composée de deux éléments cumulatifs: d'une part, la résidence physique et effective en Suisse et, sur le plan subjectif, la volonté de rester durablement dans cet endroit. Cette volonté doit être reconnaissable pour les tiers. Selon la jurisprudence, il faut tenir compte, pour déterminer si l'intention existe ou non, de nombreux faits - indices (achat d'un immeuble, durée d'un bail, location d'un appartement meublé ou non, dépôt des papiers, domicile fiscal, présence des membres de la famille, abandon d'une résidence antérieure, etc.: Daniel Staehelin, in Commentaire bâlois du droit privé suisse, Tome I, 3 ème édition, Bâle 2006, p. 220 et ss ad art. 23 CC; Henri Deschenaux/Paul-Henri Steinauer, Personnes physiques et tutelle, 4 ème édition, Berne 2001, no 376a et nombreuses références citées). L'intéressé doit avoir l'intention de s'établir pour une certaine durée. Cette intention doit impliquer la volonté manifestée de faire d'un lieu déterminé le centre de ses activités et de ses intérêts vitaux (Deschenaux/Steinauer, op. cit., no 377). Conséquence de l'art. 8 CC, la preuve du domicile doit être apportée par celui qui veut en déduire un droit; à cet égard, le dépôt des papiers, l'obtention d'un permis de séjour, le paiement des impôts, l'exercice des droits politiques ne constituent que de simples indices (Deschenaux/Steinauer, op. cit., no 382). c) En l'espèce, il résulte du dossier que la société Y.________ SA, qui souhaite acquérir les parcelles concernées et dont le siège est à Lausanne, a pour but statutaire l'achat, la vente et la gestion d'immeubles. Il ressort d'une déclaration du notaire ayant instrumenté l'acte de vente des parcelles en cause " que des personnes de nationalité suisse ou domiciliées en Suisse, au bénéfice d'un permis C ou B CE/AELE détiennent la totalité du capital social et sont créancières des fonds empruntés pour plus de septante pour cent ". Selon la déclaration des administrateurs d'Y.________ SA, du 17 novembre 2009, le capital actions de la société est entièrement détenu par C.X.________; ce dernier a en outre consenti le 12 novembre 2009 un prêt sans intérêt à la société pour un montant s'élevant à 3'663'528.10 fr., le solde du prix d'achat de la parcelle et du chalet en construction étant assuré par une dette ouverte de 1'998'879.65 fr. auprès d'une banque suisse dans le cadre d'un emprunt hypothécaire contracté le 2 juillet 2009 par Y.________ SA et garanti par C.X.________. Ce dernier assume ainsi une position dominante au sein de la société précitée. Etant citoyen grec, il convient de déterminer s'il peut être considéré comme étant domicilié en Suisse. L'autorité intimée a admis le domicile suisse de C.X.________ en se fondant sur divers documents, dont une attestation de résidence délivrée par la commune de Rougemont, qui confirme l'octroi d'un permis de séjour B UE/AELE, diverses factures de dépenses courantes réalisées à Rougemont et dans ses environs (alimentation, fleuriste, vétérinaire, carburant, etc.) portant sur les mois de mai, fin septembre et octobre 2009 - l'intéressé ayant indiqué avoir séjourné en Grèce du 31 mai au 22 septembre 2009 -, le décompte final de l'impôt sur les chiens 2009 ainsi qu'un avis de primes d'assurance maladie de base portant sur la période comprise entre le 1 er avril 2009 et le 31 décembre 2009, établie à son nom. En cours de procédure, les tiers intéressés ont encore produit des factures de dépenses courantes adressées à C.X.________ et portant sur la période comprise entre la fin du mois d'octobre 2009 et la fin du mois de mai 2010 (alimentation, fleuriste, vétérinaire, opticien, blanchisserie, entretien, acquisition d'un véhicule, carburant, etc.). C.X.________ est également au bénéfice d'une imposition à la dépense, selon décision de l'autorité fiscale du 29 avril 2009. Sur la base de ces documents, l'autorité intimée a retenu que même si C.X.________ se déplaçait fréquemment hors de Suisse, il n'y avait pas lieu de mettre en doute son domicile en Suisse. Cette appréciation ne peut être pleinement suivie en l'état. Si les éléments au dossier permettent certes de retenir que C.X.________ a effectivement résidé à Rougemont entre avril 2009 et mai 2010, on peut avoir des doutes sur sa volonté de constituer durablement son domicile en Suisse, au vu des circonstances particulières du cas présent. Ainsi, dans sa lettre du 9 décembre 2009 à l'autorité intimée, ce dernier a indiqué avoir pour projet de rester à Rougemont jusqu'au mois de mai suivant et qu'il s'était rendu en Grèce afin de régulariser, auprès des autorités locales, sa nouvelle situation, sans toutefois préciser quel était son statut dans son pays d'origine. Il ressort encore de sa déclaration de départ du Royaume Uni, en 2007, qu'il quittait ce pays pour se rendre en Grèce. Il convient de retenir de ces éléments que l'intéressé semble avoir vécu en Grèce pendant une période indéterminée entre 2007 et 2009. S'il a entrepris des démarches pour élire domicile en Suisse dès 2009, l'on ne sait rien de ses relations avec son pays d'origine, de sorte qu'il n'est pas possible de déterminer précisément où se trouve aujourd'hui le centre de ses intérêts, faute de savoir s'il a bien renoncé à un éventuel domicile ailleurs. Force est donc de conclure que la réalité d'un domicile suisse avec une intention durable de rester dans ce pays n'est pas suffisamment établie dans le cas présent. Partant, la question de l'assujettissement ou non de la société Y.________ SA à la LFAIE demeure. Il convient par conséquent d'annuler la décision attaquée et de renvoyer le dossier à l'autorité intimée pour complément d'instruction à ce sujet.</w:t>
      </w:r>
    </w:p>
    <w:p>
      <w:r>
        <w:rPr>
          <w:b/>
        </w:rPr>
        <w:t>E. 4</w:t>
      </w:r>
    </w:p>
    <w:p>
      <w:r>
        <w:t>Il résulte des considérants qui précèdent que le recours doit être admis et la décision attaquée annulée, le dossier étant renvoyé à l'autorité intimée pour complément d'instruction et nouvelle décision. L'arrêt est rendu sans frais. Les tiers intéressés, qui succombent, n'ont pas droit à l'allocation de dépens (art. 49, 55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