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FO.2009.0023 vom 29. April 2011</w:t>
      </w:r>
    </w:p>
    <w:p>
      <w:r>
        <w:t>VD Tribunal cantonal, 2011-04-29, FR</w:t>
      </w:r>
    </w:p>
    <w:p>
      <w:r>
        <w:rPr>
          <w:b/>
        </w:rPr>
        <w:t xml:space="preserve">Quelle: </w:t>
      </w:r>
      <w:r>
        <w:t>https://mcp.opencaselaw.ch/entscheid/vd_omni_FO.2009.0023</w:t>
      </w:r>
    </w:p>
    <w:p>
      <w:r>
        <w:t>FR: VD_OMNI FO.2009.0023 du 29 avril 2011</w:t>
      </w:r>
    </w:p>
    <w:p>
      <w:r>
        <w:t>IT: VD_OMNI FO.2009.0023 del 29 aprile 2011</w:t>
      </w:r>
    </w:p>
    <w:p>
      <w:pPr>
        <w:pStyle w:val="Heading2"/>
      </w:pPr>
      <w:r>
        <w:t>Regeste</w:t>
      </w:r>
    </w:p>
    <w:p>
      <w:r>
        <w:t>A.X.________, B.X.________, C.X.________ /Commission foncière, Département de l'économie, Municipalité de Montreux | Autorisation d'acquérir deux appartements, délivrée à des ressortissants étrangers n'ayant pas le droit de s'établir en Suisse. Au moment de la construction, ceux-ci ont réuni les appartements, de telle sorte qu'ils n'en forment plus qu'un seul. Cette liaison interne résulte d'une modification ultérieure des plans, qui n'a pas été mise à l'enquête publique, mais dont la municipalité a eu connaissance lors de la délivrance du permis d'habiter. Cette modification n'a cependant jamais été soumise à la commission foncière, autorité compétente en la matière, qui l'a découverte ultérieurement, à l'occasion d'une perquisition menée par l'Office fédéral de la police. C'est en vain que les requérants opposent la protection de leur bonne foi à la décision attaquée qui ordonne aux requérants de condamner définitivement la porte de communication entre les deux appartements. Cette décision doit être considérée à cet égard comme une mise en demeure dont le non respect pourrait alors entraîner une révocation de l'autorisation. Recours au TF rejeté (2C_471/2011 du 14.11.2011).</w:t>
      </w:r>
    </w:p>
    <w:p>
      <w:pPr>
        <w:pStyle w:val="Heading2"/>
      </w:pPr>
      <w:r>
        <w:t>Erwägungen</w:t>
      </w:r>
    </w:p>
    <w:p>
      <w:r>
        <w:rPr>
          <w:b/>
        </w:rPr>
        <w:t>E. 1</w:t>
      </w:r>
    </w:p>
    <w:p>
      <w:r>
        <w:t>Les recourants ont requis la tenue d’une audience avec inspection locale et l’audition d’un témoin. Comme on le verra plus loin, ils soutiennent que les conditions permettant la protection de leur bonne foi sont réalisées dans le cas d’espèce et font obstacle à la décision attaquée.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les recourants. Il s’en tiendra à une procédure exclusivement écrite. Les recourants n'ont en effet pas exposé, ainsi qu'ils ont été invité à le faire, quels faits pertinents, qui ne ressortiraient pas déjà du dossier, l'inspection locale serait destinée à établir. Quant à l'audition de leur architecte, elle devrait démontrer " leur parfaite bonne foi dans ce dossier, dans la mesure où ils ont toujours fait appel à des professionnels et respecté les décisions des autorités " (mémoire de recours, ch. IV). Or il n'est pas contesté qu'ils ont fait appel à des professionnels, et le point de savoir s'ils ont respecté les autorisations données n'est pas un point de fait pouvant être établi par témoignage. Quant à savoir s'ils ont reçu des autorités des assurances auxquelles ils pouvaient de bonne foi se fier – argument central, sinon exclusif, du recours – il s'agit aussi d'une question d’ordre juridique, que le tribunal examine avec un plein pouvoir d’examen (art. 76 LPA-VD). Dès lors, par appréciation anticipée des preuves, le tribunal s’estime en mesure de statuer en connaissance de cause, en se dispensant de l’audience réclamée par les recourants.</w:t>
      </w:r>
    </w:p>
    <w:p>
      <w:r>
        <w:rPr>
          <w:b/>
        </w:rPr>
        <w:t>E. 2</w:t>
      </w:r>
    </w:p>
    <w:p>
      <w:r>
        <w:t>, comme les plans l’indiquent. Par conséquent , il ne pouvait y avoir, de la part de l’autorité intimée, aucun renseignement ou aucune décision prétendument erronés, sur la base desquels les recourants auraient pris des dispositions irréversibles. C’est donc en vain que ceux-ci opposent la protection de leur bonne foi à la décision attaquée. c) Sans doute, le permis d’habiter que la Municipalité de Montreux a délivré le 23 juin 2005 après une visite sur place, mentionne expressément que les deux appartements sont reliés entre eux. Les recourants perdent toutefois de vue que cette autorité n’a pas statué en application de la LFAIE et ses dispositions d’application, lesquelles ne lui confèrent du reste aucune compétence en la matière. La délivrance du permis d'habiter permet uniquement à la municipalité de s'assurer, d'une part, que la construction réalisée est conforme aux plans approuvés, d'autre part, que l'achèvement des travaux extérieurs et intérieurs assure la sécurité et la santé des habitants (cf. art. 129 de la loi vaudoise du 4 décembre 1985 sur l’aménagement du territoire et les constructions - LATC; RSV 700.11) . Il ne constitue qu’une étape dans la mise en œuvre de l’aménagement du territoire et de la police des constructions. Dans cette optique, il représente un constat final de la conformité des travaux à la loi et aux règlements en la matière (dans ce sens, arrêt AC.1997.0224 du 3 juin 1999) et permet à l'autorité d'intervenir contre le propriétaire qui n'aurait pas respecté les plans et les conditions posées dans le permis de construire (cf. RDAF 1986, 189). Le permis d’habiter n’a en revanche aucun effet quelconque s’agissant de l’application de LFAIE; à tout le moins, on ne saurait inférer de sa délivrance que la construction est conforme à l’autorisation rendue par une autorité chargée d’appliquer cette loi. C’est en vain que les recourants tentent de soutenir le contraire, ceci d’autant plus qu’aucun élément du dossier ne permet de retenir que le permis d’habiter a été communiqué en son temps à l’autorité intimée.</w:t>
      </w:r>
    </w:p>
    <w:p>
      <w:r>
        <w:rPr>
          <w:b/>
        </w:rPr>
        <w:t>E. 3</w:t>
      </w:r>
    </w:p>
    <w:p>
      <w:r>
        <w:t>Dans leur mémoire complémentaire du 7 avril 2011, les recourants invoquent trois arguments nouveaux: a) Ils considèrent tout d’abord que la procédure d'autorisation d'acquérir un logement de vacances et la procédure de permis de construire auraient dû être coordonnées conformément à l'art. 25a de la loi du 22 juin 1979 sur l'aménagement du territoire (LAT; RS 700), de manière à éviter que les autorités compétentes ne rendent des décisions contradictoires. Le point de savoir si l'autorisation de construire et l'autorisation d'acquisition d'immeubles par des personnes à l'étranger doivent être coordonnées (tout au moins lorsque cette dernière comporte des conditions relatives aux constructions qui peuvent être édifiées sur le fonds concerné), peut toutefois demeurer indécis. En effet, les conclusions que les recourants prétendent tirer du défaut de coordination sont erronées. Que la municipalité ait successivement délivré un permis de construire et un permis d'habiter pour un bâtiment qui n'est pas conforme aux plans approuvés par l’autorité intimée n'a nullement pour effet de lever les conditions que cette dernière avait posées ou de régulariser la violation manifeste de ces conditions. Il appartenait aux recourants – qui doivent à cet égard se voir imputer les éventuelles erreurs de leurs architectes – de présenter à la municipalité un projet de construction conforme aux plans approuvés par l’autorité intimée, puis de veiller à ce que les travaux soient également exécutés conformément à ces plans. b) Sans développer longuement ce moyen, les recourants prétendent en outre que la décision attaquée violerait le principe de la proportionnalité en leur imposant des travaux coûteux que l'intérêt public en cause ne saurait justifier. Il n'en est rien. La mise en conformité n'exige que des travaux relativement modestes: au niveau de l'entrée de l'appartement n° 1, déplacer une cloison légère de manière à recréer un accès extérieur indépendant à l'escalier menant au sous-sol; au premier étage, murer une porte. Par rapport à la valeur de la propriété (dont l'estimation fiscale est de 1'165'000 francs), le coût prévisible de la mise en conformité reste modique. c) Enfin, l'argumentation que les recourants prétendent tirer des règles sur la propriété par étage, notamment de l’art. 712b CC, est sans pertinence. La décision attaquée tend à remédier à une violation de la LFAIE et non du Code civil.</w:t>
      </w:r>
    </w:p>
    <w:p>
      <w:r>
        <w:rPr>
          <w:b/>
        </w:rPr>
        <w:t>E. 4</w:t>
      </w:r>
    </w:p>
    <w:p>
      <w:r>
        <w:t>L’autorisation est révoquée d’office, lorsque l’acquéreur l’a obtenue frauduleusement en fournissant des indications inexactes ou lorsque, malgré une mise en demeure, il ne respecte pas une charge (art. 25 al. 1 LFAIE). En l’occurrence, l’autorité intimée a renoncé à révoquer l’autorisation. Il s’avère cependant que l’autorisation du 27 juillet 2001, complétée par l’approbation des plans du 8 octobre 2001, ainsi que la charge dont elle était assortie, n’a pas été respectée par les recourants. La décision attaquée doit être considérée à cet égard comme une mise en demeure dont le non respect pourrait alors entraîner une révocation.</w:t>
      </w:r>
    </w:p>
    <w:p>
      <w:r>
        <w:rPr>
          <w:b/>
        </w:rPr>
        <w:t>E. 5</w:t>
      </w:r>
    </w:p>
    <w:p>
      <w:r>
        <w:t>Il résulte des considérants qui précèdent que le recours doit être rejeté et la décision attaquée, confirmée. Le sort du recours commande qu’un émolument soit mis à la charge des recourants, ceux-ci succombant (art. 48, 49 al. 1 et 91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