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FO.2009.0022 vom 4. Mai 2010</w:t>
      </w:r>
    </w:p>
    <w:p>
      <w:r>
        <w:t>VD Tribunal cantonal, 2010-05-04, FR</w:t>
      </w:r>
    </w:p>
    <w:p>
      <w:r>
        <w:rPr>
          <w:b/>
        </w:rPr>
        <w:t xml:space="preserve">Quelle: </w:t>
      </w:r>
      <w:r>
        <w:t>https://mcp.opencaselaw.ch/entscheid/vd_omni_FO.2009.0022</w:t>
      </w:r>
    </w:p>
    <w:p>
      <w:r>
        <w:t>FR: VD_OMNI FO.2009.0022 du 4 mai 2010</w:t>
      </w:r>
    </w:p>
    <w:p>
      <w:r>
        <w:t>IT: VD_OMNI FO.2009.0022 del 4 maggio 2010</w:t>
      </w:r>
    </w:p>
    <w:p>
      <w:pPr>
        <w:pStyle w:val="Heading2"/>
      </w:pPr>
      <w:r>
        <w:t>Regeste</w:t>
      </w:r>
    </w:p>
    <w:p>
      <w:r>
        <w:t>DECKER/Commission foncière rurale Section I, GOLAY | Prix offert pour l'acquisition de plusieurs immeubles agricoles considéré comme surfait par l'expert. Bien que les recourants s'en remettent aux conclusions de l'expert sur ce point, le respect de la procédure d'autorisation exige qu'un nouvel appel d'offres soit, le cas échéant, publié au préalable, à un prix considéré comme non surfait. Question laissée de toute façon indécise, dans la mesure où l'autorisation d'aliéner a été refusée à bon droit. En effet, l'exploitation du vendeur nécessitait en tout 0,832 UMOS, soit un montant supérieur au seuil de 0,75 UMOS à compter duquel une exploitation doit être considérée comme une entreprise agricole dans le canton. Elle est donc soumise au principe de l'interdiction du partage matériel. Une surface agricole affermée sans autorisation doit être prise en considération pour déterminer si l'ensemble des immeubles promis-vendus est assimilable à une entreprise agricole. Tel est le cas lorsque la conclusion du contrat de bail à ferme précède l'octroi de l'autorisation d'affermage par parcelles; l'autorisation a un effet formateur, de sorte que le contrat demeure inefficace tant que celle-ci n'est pas entrée en force.</w:t>
      </w:r>
    </w:p>
    <w:p>
      <w:pPr>
        <w:pStyle w:val="Heading2"/>
      </w:pPr>
      <w:r>
        <w:t>Erwägungen</w:t>
      </w:r>
    </w:p>
    <w:p>
      <w:r>
        <w:rPr>
          <w:b/>
        </w:rPr>
        <w:t>E. 1</w:t>
      </w:r>
    </w:p>
    <w:p>
      <w:r>
        <w:t>A titre préliminaire, les recourants requièrent la mise en œuvre d’un complément d’expertise. Ils se plaignent de ce que l’expertise, qui prend en compte la surface de vigne pour calculer les besoins en travail de l’exploitation affermée à Thierry Golay, n’évoque pas le  fait que cette vigne ne soit pas exploitée par la famille Golay depuis plus de vingt ans.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de la loi vaudoise du 28 octobre 2008 sur la procédure administrative – LPA-VD; RSV 173.36 ). Les parties participent à l'administration des preuves (art. 34 al. 1 LPA-VD). L’autorité peut recourir à l’audition des parties et à l’expertise (art. 29 al. 1 let. a et c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122 II 464 consid. 4c p. 469/470). b) En l’espèce, les recourants évoquent une constatation incomplète des faits. Ils requièrent que l’expert soit invité à décrire la surface de vigne de Bremblens, se penche sur les conditions d’exploitation de celle-ci et indique quels sont les investissements à effectuer par la famille Golay à cet effet. Le Tribunal peut toutefois écarter la réquisition des recourants et s’en tenir à une procédure exclusivement écrite. Comme on le verra ci-dessous, le litige a trait à des questions d’ordre exclusivement juridique, que le Tribunal examine avec un plein pouvoir d’examen (art. 76 LPA-VD). Dès lors, par appréciation anticipée des preuves, le Tribunal s’estime en mesure de statuer en connaissance de cause, en se dispensant du complément d’expertise réclamé par les recourants.</w:t>
      </w:r>
    </w:p>
    <w:p>
      <w:r>
        <w:rPr>
          <w:b/>
        </w:rPr>
        <w:t>E. 2</w:t>
      </w:r>
    </w:p>
    <w:p>
      <w:r>
        <w:t>Sur le plan matériel, l’autorité intimée, suivant en cela les conclusions de l’expert, a estimé en premier lieu que le prix offert par les recourants pour les immeubles de Gilbert Golay, soit 931'060 fr., était surfait. a) Celui qui entend acquérir une entreprise ou un immeuble agricole doit obtenir une autorisation (art. 61 al. 1 de la loi fédérale du 4 octobre 1991 sur le droit foncier rural - LDFR; RS 211.412.11) . Le but de l'assujettissement à autorisation est de garantir que le transfert de propriété corresponde aux objectifs du droit foncier rural, au premier rang desquels figure la concrétisation du principe de l'exploitation à titre personnel fondé sur la politique de la propriété (ATF 133 III 562 consid. 4.3 p. 564). L'autorisation doit ainsi, en principe, être refusée lorsque l'acquéreur n'est pas exploitant à titre personnel (art. 63 al. 1 let. a LDFR). Elle est néanmoins accordée si ce dernier prouve l'existence d'un juste motif au sens de l'art. 64 al. 1 LDFR. Tel est en particulier le cas lorsque, malgré une offre publique à un prix qui ne soit pas surfait (cf. art. 66 LDFR), aucune demande n'a été faite par un exploitant à titre personnel (art. 64 al. 1 let. f LDFR). L'exception de l'art. 64 al. 1 let. f LDFR a pour but de sauvegarder, sous l'angle de la garantie de la propriété (art. 26 Cst.), les intérêts de l'agriculteur désireux de vendre, dont l'offre n'est suivie d'aucune demande de la part d'un exploitant à titre personnel (Christoph Bandli/Beat Stalder, in: Le droit foncier rural, Commentaire de la loi fédérale sur le droit foncier rural du 4 octobre 1991 [ci-après: Commentaire LDFR], 1998, n° 36 ad art. 64 LDFR). Si, dans le cadre de la procédure d'autorisation, le propriétaire qui veut vendre fournit la preuve qu'à la suite de la publication de l'appel d'offres aucune offre ou seulement des offres insuffisantes ont été présentées par des exploitants à titre personnel, l'acquéreur qui n'est pas exploitant à titre personnel obtiendra l'autorisation d'acquérir, pour autant que le prix convenu ne soit pas surfait (art. 63 al. 1 let. b et art. 66 LDFR; cf. sur ce point, Bandli/Stadler, ibid., n° 38). Dans le cas contraire, l'autorisation devra être refusée. b) En l’espèce, nul exploitant n’a donné suite à l’appel d’offres publié le 17 mars 2009. En effet, le prix offert par les recourants pour les immeubles de Gilbert Golay, soit 931'060 fr., doit être considéré comme surfait. Les recourants se gardent du reste de remettre en cause les conclusions de l’expert et la décision attaquée sur ce point. Ils indiquent simplement qu’ils s’en remettent au prix maximum non surfait. Cette explication ne permet toutefois pas d’accueillir leur recours et d’inviter l’autorité intimée à délivrer une autorisation exceptionnelle à forme de l’art. 64 al. 1 let. f LDFR. Le respect de la procédure d’autorisation exige en effet qu’un nouvel appel d’offres soit, le cas échéant, publié au préalable, à un prix considéré comme non surfait. Quoi qu’il en soit, il n’est pas certain, comme on le verra plus loin, que la procédure puisse être reprise à ce stade.</w:t>
      </w:r>
    </w:p>
    <w:p>
      <w:r>
        <w:rPr>
          <w:b/>
        </w:rPr>
        <w:t>E. 3</w:t>
      </w:r>
    </w:p>
    <w:p>
      <w:r>
        <w:t>Pour apprécier, s'il s'agit d'une entreprise agricole, on prendra en considération les immeubles assujettis à la présente loi (art. 2).</w:t>
      </w:r>
    </w:p>
    <w:p>
      <w:r>
        <w:rPr>
          <w:b/>
        </w:rPr>
        <w:t>E. 4</w:t>
      </w:r>
    </w:p>
    <w:p>
      <w:r>
        <w:t>Les considérants qui précèdent conduisent au rejet du recours et à la confirmation de la décision attaquée. Le sort réservé au recours commande de mettre un émolument judiciaire à la charge des recourants, exclusivement (art. 49 al. 1 et 91 LPA-VD). Bien que représenté par le conseil des recourants, Gilbert Golay n’a en effet pris aucune conclusion formelle quant au sort du recours. En outre,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