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FO.2008.0025 vom 26. Februar 2010</w:t>
      </w:r>
    </w:p>
    <w:p>
      <w:r>
        <w:t>VD Tribunal cantonal, 2010-02-26, FR</w:t>
      </w:r>
    </w:p>
    <w:p>
      <w:r>
        <w:rPr>
          <w:b/>
        </w:rPr>
        <w:t xml:space="preserve">Quelle: </w:t>
      </w:r>
      <w:r>
        <w:t>https://mcp.opencaselaw.ch/entscheid/vd_omni_FO.2008.0025</w:t>
      </w:r>
    </w:p>
    <w:p>
      <w:r>
        <w:t>FR: VD_OMNI FO.2008.0025 du 26 février 2010</w:t>
      </w:r>
    </w:p>
    <w:p>
      <w:r>
        <w:t>IT: VD_OMNI FO.2008.0025 del 26 febbraio 2010</w:t>
      </w:r>
    </w:p>
    <w:p>
      <w:pPr>
        <w:pStyle w:val="Heading2"/>
      </w:pPr>
      <w:r>
        <w:t>Regeste</w:t>
      </w:r>
    </w:p>
    <w:p>
      <w:r>
        <w:t>Département de l'économie/Commission foncière rurale Section I, X.________, Y.________ | Avant de rendre une décision constatant qu'une parcelle où s'élèvent des contructions situées hors de la zone à bâtir n'est pas soumise à la LDFR, la Commission foncière doit, conformément à l'art. 4a ODFR, solliciter et obtenir une autorisation du SDT.</w:t>
      </w:r>
    </w:p>
    <w:p>
      <w:pPr>
        <w:pStyle w:val="Heading2"/>
      </w:pPr>
      <w:r>
        <w:t>Erwägungen</w:t>
      </w:r>
    </w:p>
    <w:p>
      <w:r>
        <w:rPr>
          <w:b/>
        </w:rPr>
        <w:t>E. 1</w:t>
      </w:r>
    </w:p>
    <w:p>
      <w:r>
        <w:t>La LDFR a pour but d’encourager la propriété foncière rurale, de renforcer la position de l’exploitant à titre personnel en cas d’acquisition d’entreprises et d’immeubles agricoles et de lutter contre les prix surfaits des terrains agricoles (art. 1 al. 1 LDFR). A cet effet, elle contient notamment des dispositions sur l'acquisition des entreprises et des immeubles agricoles, acquisition qui est soumise à autorisation (art. 1 al. 2 let. a LDFR). Selon son art. 2 al. 1, la LDFR s’applique aux immeubles agricoles isolés ou aux immeubles agricoles faisant partie d’une entreprise agricole qui sont situés en dehors d’une zone à bâtir au sens de l’art. 15 de la loi du 22 juin 1979 sur l’aménagement du territoire (let. a) et dont l’utilisation agricole est licite (let. b). L'art. 6 LDFR précise qu'est agricole l’immeuble approprié à un usage agricole ou horticole. Selon l'art. 2 al. 2 let. b LDFR, la loi s'applique également aux immeubles à usage mixte, qui ne sont pas partagés en une partie agricole et une partie non agricole. Les immeubles situés entièrement en zone agricole, mais qui ne sont utilisés que partiellement de manière agricole, notamment parce qu'ils comprennent un bâtiment d'habitation qui n'est depuis longtemps plus utilisé pour l'agriculture ou qui a été utilisé pour l'agriculture, mais n'est plus aujourd'hui apte ou nécessaire à cet usage, constituent des immeubles à usage mixte. Un tel immeuble reste entièrement assujetti à la LDFR aussi longtemps qu'il n'est pas partagé en une partie agricole et une partie non agricole (voir notamment ATF 5A.4/2000 du 1 er septembre 2000).</w:t>
      </w:r>
    </w:p>
    <w:p>
      <w:r>
        <w:rPr>
          <w:b/>
        </w:rPr>
        <w:t>E. 2</w:t>
      </w:r>
    </w:p>
    <w:p>
      <w:r>
        <w:t>Lorsqu'un immeuble sis hors d'une zone à bâtir n'est pas approprié à un usage agricole ou horticole, l'art. 84 LDFR permet au propriétaire de faire constater par l'autorité compétente que l'immeuble considéré n'est pas soumis au champ d'application de la LDFR ( ATF 132 III 515 consid. 3.3.2); le cas échéant, une mention sera inscrite au registre foncier (art. 86 LDFR; cf. aussi l'art. 3 de l'ordonnance sur le droit foncier rural du 4 octobre 1993 pour les exceptions à l'obligation de mentionner), avec pour effet d'informer les tiers que l'immeuble en question, bien que situé hors de la zone à bâtir, n'est pas assujetti à la LDFR (Stalder, in Commentaire LDFR, n. 4 ad art. 84 LDFR cité dans FO.2009.0002 du 14 septembre 2009). Depuis le 1 er septembre 2000, l'art. 4a de l'ordonnance sur le droit foncier rural du 4 octobre 1993 (ODFR; RS 211.412.110) et l'art. 49 de l'ordonnance sur l'aménagement du territoire du 28 juin 2000 (OAT; RS 700.1) imposent aux autorités compétentes en matière de LDFR et de construction hors de la zone à bâtir de coordonner leurs procédures. L'art. 4a ODFR prévoit ainsi que, dans la procédure d’octroi d’une dérogation à l’interdiction de partage matériel ou de morcellement, de même que dans la procédure d’octroi d’une décision en constatation y relative ou de non-application de la LDFR, l’autorité compétente en matière d’autorisation au sens de cette loi transmet le dossier pour décision à l’autorité cantonale compétente en matière de construction hors de la zone à bâtir (art. 25 al. 2 LAT) lorsqu’une construction ou une installation se trouve sur le bien-fonds concerné et qu’elle est située hors de la zone à bâtir au sens du droit de l’aménagement du territoire. L’autorité compétente en matière d’autorisation au sens de la LDFR ne se prononce alors que s’il existe une décision exécutoire fondée sur le droit de l’aménagement du territoire et constatant la légalité de l’affectation de la construction ou de l’installation. Il n’est pas nécessaire de procéder à la coordination des procédures s’il est évident qu’aucune dérogation au sens de la LDFR ne peut être accordée ou que le bien-fonds considéré doit rester soumis à la LDFR. Dans le canton de Vaud, l'autorité compétente en matière de construction hors de la zone à bâtir est le DEC (art. 81 al. 1 et 120 al. 1 let. a de la loi vaudoise sur l'aménagement du territoire et les constructions du 4 décembre 1985), qui a délégué cette tâche au Service du développement territorial (SDT). Contrairement à ce que fait valoir l'autorité intimée, l'art. 4a ODFR ne fait dès lors pas dépendre la procédure de coordination d'un changement d'affectation des bâtiments situés sur une parcelle agricole, mais rend cette dernière obligatoire lorsque notamment, comme en l'espèce, la Commission entre en matière sur une demande de désassujettissement qui concerne une parcelle où s'élèvent des constructions situées hors de la zone à bâtir. Dans le cas présent, le SDT (anciennement SAT) a autorisé en 1991 la transformation du bâtiment n° 4********. Il ne ressort en revanche pas du dossier qu'il ait jamais rendu de décision concernant le déplacement, la rénovation et la nouvelle affectation du bâtiment n° 3********. Pour pouvoir rendre sa décision constatant que la parcelle n° 1******** n'était pas soumise à la LDFR, l'autorité intimée aurait donc dû solliciter et obtenir préalablement une autorisation du SDT. Pour ce motif déjà, le recours doit être admis.</w:t>
      </w:r>
    </w:p>
    <w:p>
      <w:r>
        <w:rPr>
          <w:b/>
        </w:rPr>
        <w:t>E. 3</w:t>
      </w:r>
    </w:p>
    <w:p>
      <w:r>
        <w:t>D ans un arrêt du 16 janvier 2006 (5A.14/2006), le Tribunal fédéral a rappelé que, concrètement, toutes les surfaces de terrain qui ne sont pas en nature de forêt et qui disposent d'une couche de terre suffisante pour la végétation sont appropriées à un usage agricole (Eduard Hofer, Le droit foncier rural, Commentaire de la loi fédérale sur le droit foncier rural du 4 octobre 1991, Brugg 1998, n. 7 ad art. 6 LDFR; Yves Donzallaz, Pratique et jurisprudence de droit foncier rural 1994-1998, 1999 [ci-après: Pratique et jurisprudence], n. 56 p. 49). Si la caractéristique de l'aptitude est ainsi d'abord d'ordre objectif, l'on doit cependant aussi tenir compte, selon le Message du Conseil fédéral et la doctrine, de l'utilisation effective durant de longues années : ainsi, un parc attenant à une villa située en zone agricole se prêterait aussi, objectivement parlant, à un usage agricole ou horticole, mais le but de la loi n'est pas de faire de tels biens-fonds des immeubles agricoles (Message du Conseil fédéral, FF 1987 III 889, p. 917; Hofer, op. cit., n. 16 ad art. 6 LDFR; Donzallaz, Pratique et jurisprudence, n. 62 p. 51-52; Idem, Commentaire de la loi fédérale du 4 octobre 1991 sur le nouveau droit foncier rural [ci-après: Commentaire], 1993, n. 81 p. 44). Il va toutefois de soi que la composante subjective ne peut avoir qu'une valeur secondaire, comme le souligne Donzallaz (Pratique et jurisprudence, n. 62 p. 52; Commentaire, n. 81 p. 44). Cet auteur cite ainsi, en l'approuvant, une décision valaisanne dans laquelle il a été jugé qu'un terrain situé en zone agricole, et momentanément utilisé en qualité de piste de motocross, devait être considéré comme un immeuble agricole au sens de l'art. 6 LDFR, étant donné qu'il n'était pas irréversiblement inutilisable d'un point de vue agricole (Donzallaz, Pratique et jurisprudence, n. 61 p. 51). En l'espèce, l'experte a examiné la possibilité de morceler la parcelle en suivant le ruisseau qui la traverse. La Commission, se référant à cette expertise, a " estimé qu'un morcellement serait inopportun " et a autorisé le désassujettissement de l'entier de la parcelle n°1********. Ni l'experte, ni la Commission n'ont examiné la possibilité de morceler la parcelle en cause de manière différente, soit par exemple en séparant du reste de la parcelle uniquement le bâtiment d'habitation ECA n° 4******** et le jardin attenant. Le terrain utilisable en pâture ou en pâturage selon l'expertise garderait ainsi une surface de 5'100 m 2 . Concernant le reste du terrain cadastré en pré-champ qui descend en forte pente, si on ne peut y laisser des chevaux ou des vaches pâturer, il ne paraît pas d'emblée exclu d'utiliser cette surface pour d'autres animaux, tels que des chèvres. De plus, comme le relève le recourant, il existe des engins agricoles adaptés aux zones de montagne qui permettraient de récolter l'herbe qui pousse sur la surface en pente ou alors elle pourrait servir de surface de compensation écologique. Quant au bâtiment ECA n° 3********, qui est utilisé actuellement comme écurie pour les chevaux, on ne voit pas pourquoi il devrait être considéré comme n'ayant plus de vocation agricole. Il pourrait au contraire continuer à servir comme abri pour du bétail ou comme grange. Il découle de ce qui précède qu'exception faite du bâtiment n° 4********, la parcelle conserve une vocation agricole, de sorte que la Commission ne pouvait pas purement et simplement soustraire l'entier de la parcelle à la LDFR.</w:t>
      </w:r>
    </w:p>
    <w:p>
      <w:r>
        <w:rPr>
          <w:b/>
        </w:rPr>
        <w:t>E. 4</w:t>
      </w:r>
    </w:p>
    <w:p>
      <w:r>
        <w:t>Reste à examiner si cette parcelle peut néanmoins être vendue à une personne qui n'est pas exploitante à titre personnel, faute d'acquéreur remplissant cette condition malgré une offre publique à un prix qui ne soit pas surfait (art. 64 al. 1 let f LDFR). a) L'exception de l'art. 64 al. 1 let. f LDFR a pour but de sauvegarder, sous l'angle de la garantie de la propriété (art. 26 Cst.), les intérêts du propriétaire désireux de vendre, dont l'offre n'est suivie d'aucune demande de la part d'un exploitant à titre personnel (Christoph Bandli/ Beat Stalder, in Le droit foncier rural, Commentaire de la loi fédérale sur le droit foncier rural du 4 octobre 1991, 1998, n° 36 ad art. 64 LDFR). Si, dans le cadre de la procédure d'autorisation, le propriétaire qui veut vendre fournit la preuve qu'à la suite de la publication de l'appel d'offres aucune offre ou seulement des offres insuffisantes ont été présentées par des exploitants à titre personnel, l'acquéreur qui n'est pas exploitant à titre personnel obtiendra l'autorisation d'acquérir, pour autant que le prix convenu ne soit pas surfait (art. 63 al. 1 let. b et art. 66 LDFR; cf. Bandli/Stadler, in Commentaire LDFR, op. cit., n° 38 ad art. 64 LDFR). Dans le cas contraire, l'autorisation devra être refusée. b) L'art. 66 LDFR précise que le prix d'acquisition est surfait quand il dépasse de plus de cinq pour cent le prix payé en moyenne pour des entreprises ou des immeubles agricoles comparables de la même région au cours des cinq dernières années (al. 1). Les cantons peuvent augmenter ce pourcentage jusqu'à 15 % dans leur législation (al. 2). La détermination du prix licite (non surfait) doit être effectuée par comparaison avec des transactions portant sur des immeubles présentant des caractéristiques semblables, eu égard notamment à la déclivité du terrain, la qualité du sol, le motif de l'aliénation et les possibilités d'utilisation future (TA arrêt FO.2006.0014 du 30 novembre 2007 et références citées, telles que l'ATF 5A.11/1995 du 21 décembre 1995 consid. 2, in CDA 1996 p.49; Hans Rudolf HOTZ, Commentaire LDFR, n° 8 ss ad art. 66). Il y a lieu d'écarter de cette comparaison notamment les transactions effectuées à bas prix dans le cadre de la famille (HOTZ, op. cit., n° 9 ad. art. 66; CDA 2001 p. 55) ou à prix élevé dans un but spéculatif lorsque le terrain en cause est susceptible d'être transféré en zone à bâtir ou affecté à l'usage de carrière (FO.2003.0012 du 14 avril 2004 consid. 2b; HOTZ, op. cit., n° 11 ad. art. 66; Yves Donzallaz, Traité de droit agraire suisse: droit public et droit privé, tome II, 2006, les méthodes comparatives p. 690, n° 3506 et ss). Il faut en définitive que seuls soient comparés des objets comparables (HOTZ, op. cit., n°</w:t>
      </w:r>
    </w:p>
    <w:p>
      <w:r>
        <w:rPr>
          <w:b/>
        </w:rPr>
        <w:t>E. 9</w:t>
      </w:r>
    </w:p>
    <w:p>
      <w:r>
        <w:t>ad art. 66). c) En l'occurrence la Commission s'est déterminée sur le recours en indiquant que les bâtiments édifiés sur la parcelle litigieuse n'ont aucun usage ni affectation agricole. Il s'agit en fait d'un chalet et d'une dépendance et la Commission a toujours renoncé dans un tel cas à fixer un prix licite, les principes applicables n'étant selon elle pas transposables pour des bâtiments sans vocation agricole. Un prix "licite" ne pouvant ainsi être déterminé, la Commission considère que c'est la valeur vénale qui est déterminante. Elle estime en outre qu'il est impossible de trouver des objets comparables, " ce qui rend illusoire la fixation d'un prix licite ". Pour déterminer le prix non surfait, la LDFR ne distingue pas selon que l'immeuble est situé en partie ou non en zone à bâtir; elle a en effet expressément prévu d'assujettir des immeubles situés en partie dans une zone à bâtir, tant qu'ils ne sont pas partagés conformément aux zones d'affectation (art. 2 al. 2 let. c LDFR; v. aussi Yves Donzallaz, Traité de droit agraire suisse: droit public et droit privé, Tome 2, Berne 2006, n. 3546, p. 701 s.). A fortiori, la loi ne fait pas non plus de distinction selon que l'immeuble assujetti à la LDFR comporte une construction utilisée pour l'agriculture ou non. Par conséquent, aussi longtemps qu'un immeuble à usage mixte est assujetti à la LDFR, il doit, pour la détermination du prix non surfait, être comparé avec les immeubles agricoles entièrement utilisés comme tels de la même région, sans tenir compte des avantages juridiques que lui concéderait d'autres règlementations. Ce n'est que de cette manière qu'un exploitant à titre personnel, notamment le fermier, est en mesure de se porter acquéreur de la partie agricole de l'immeuble. Tant que le bâtiment non agricole et le terrain agricole sont mélangés, le prix de l'ensemble est en effet fortement augmenté par la valeur que représente le premier pour les non exploitants, ce qui réduit considérablement les possibilités d'acquisition par les exploitants à titre personnel intéressés par le second. Si un propriétaire entend aliéner son immeuble soumis à la LDFR sans être lié par les restrictions en matière de prix licite, il lui incombe de le morceler, aux conditions de l'art. 60 al. 1 let. a LDFR (cf. ATF 132 III 515 consid. 3.3; ATF 5A.6/2002 du 11 juin 2002). La Commission n'a certes aucun moyen de l'y contraindre, ainsi qu'elle le relève. Toutefois, s'il s'y refuse, il doit se laisser imposer un prix licite qui ne tiendra pas compte de la valeur supérieure représentée par la partie constructible de son immeuble (FO.2009.0028 du 17 février 2010; FO.2009.0002 du 14 septembre 2009) L'autorité intimée ne pouvait ainsi pas s'abstenir d'examiner le critère du prix résultant de l'art. 64 al. 1 let. f et 66 LDFR en se limitant à retenir la valeur indiquée par les parties à l'acquisition envisagée. 5. L'autorité intimée et le vendeur ont requis diverses mesures d'instruction. Dans la mesure où les constatations de l'état du terrain faites dans le rapport d'expertise ainsi que la dizaine de photographies de la parcelle figurant au dossier ont permis au tribunal d'apprécier la situation, une visite des lieux apparaît inutile. Quant à l'audition de l'experte, elle est également superflue puisque le tribunal n'a pas mis en doute les constatations qu'elle a faites, mais uniquement les conclusions qu'elle en a tirées. La Commission devra vérifier si le prix de vente de la parcelle concernée peut être considéré comme licite en le comparant avec celui des autres terrains agricoles présentant des caractéristiques semblables. Elle devra dès lors se référer aux décisions qu'elle a rendues précédemment dans des cas similaires. Il est par conséquent inutile de demander la production des dossiers des autorisations d'acquérir au sens de l'art. 64 LDFR délivrées de 1999 à 2009, avec plans de situation indiquant chacune des parcelles concernées, dans le cadre de la présente procédure. Enfin, la production du dossier de rénovation du bâtiment n° 4******** ainsi que l'audition du représentant du " 6******** " sont également superflues dans la mesure où figure déjà au dossier le permis de construire et l'autorisation du SAT. 6. Conformément à l'art. 49 al. 1 de la loi sur la procédure administrative du 28 octobre 2008 (LPA-VD; RSV 173.36), les frais et dépens sont en principe supportés par la ou les parties qui succombent. Lorsque la procédure met en présence, outre le recourant et l'autorité intimée, une ou plusieurs autres parties dont les intérêts sont opposés à ceux du recourant, c'est en principe à la partie adverse déboutée, à l'exclusion de la collectivité publique dont la décision est annulée ou modifiée, de supporter les frais et dépens (FO.2008.0014 du 17 septembre 2009 et les références citées). En l'espèce, les frais judiciaires sont mis à la charge du vendeur. L'acheteuse n'ayant pas déposé de conclusions en son nom propre, elle est dispensée du paiement d'émoluments. Le DEC n'a pas droit à des dépens (art.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