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FO.2008.0004 vom 28. August 2008</w:t>
      </w:r>
    </w:p>
    <w:p>
      <w:r>
        <w:t>VD Tribunal cantonal, 2008-08-28, FR</w:t>
      </w:r>
    </w:p>
    <w:p>
      <w:r>
        <w:rPr>
          <w:b/>
        </w:rPr>
        <w:t xml:space="preserve">Quelle: </w:t>
      </w:r>
      <w:r>
        <w:t>https://mcp.opencaselaw.ch/entscheid/vd_omni_FO.2008.0004</w:t>
      </w:r>
    </w:p>
    <w:p>
      <w:r>
        <w:t>FR: VD_OMNI FO.2008.0004 du 28 août 2008</w:t>
      </w:r>
    </w:p>
    <w:p>
      <w:r>
        <w:t>IT: VD_OMNI FO.2008.0004 del 28 agosto 2008</w:t>
      </w:r>
    </w:p>
    <w:p>
      <w:pPr>
        <w:pStyle w:val="Heading2"/>
      </w:pPr>
      <w:r>
        <w:t>Regeste</w:t>
      </w:r>
    </w:p>
    <w:p>
      <w:r>
        <w:t>X.________ c/Commission foncière Section II | Les conditions à l'obtention d'une autorisation d'acquérir un logement de vacances sont exhaustivement énumérées aux art. 1 et 4 LVLFAIE, sous réserve des motifs de refus de l'art. 12 LFAIE. Le respect par le vendeur de l'obligation (charge) d'utiliser l'objet à titre de logement de vacances ne fait pas partie des conditions à l'octroi d'une autorisation d'acquérir. Le seul fait de ne pas occuper effectivement le logement ne constitue pas une violation de la charge; une telle violation ne pourrait, le cas échéant qu'être sanctionnée par la procédure de révocation de l'autorisation. Selon la systématique de la loi, le motif de l'interdiction d'acquérir en vue d'un placement de capitaux devrait être examiné dans le cadre de l'autorisation d'acquérir et non pas de vendre, soit du point de vue de l'acquéreur et non du vendeur. Cette question peut toutefois demeurer ouverte en l'espèce.</w:t>
      </w:r>
    </w:p>
    <w:p>
      <w:pPr>
        <w:pStyle w:val="Heading2"/>
      </w:pPr>
      <w:r>
        <w:t>Erwägungen</w:t>
      </w:r>
    </w:p>
    <w:p>
      <w:r>
        <w:rPr>
          <w:b/>
        </w:rPr>
        <w:t>E. 1</w:t>
      </w:r>
    </w:p>
    <w:p>
      <w:r>
        <w:t>Interjeté dans le délai de trente jours prévu par l'art. 30 al. 3 de la loi fédérale du 16 décembre 1983 sur l'acquisition d'immeubles par des personnes à l'étranger (LFAIE; RS 211.412.41), le recours est recevable.</w:t>
      </w:r>
    </w:p>
    <w:p>
      <w:r>
        <w:rPr>
          <w:b/>
        </w:rPr>
        <w:t>E. 2</w:t>
      </w:r>
    </w:p>
    <w:p>
      <w:r>
        <w:t>La LFAIE est applicable à la recourante et aux acheteurs, dès lors que tous trois sont domiciliés en Grande-Bretagne (art. 7 lit. f de l¿Accord du 21 juin 1999 entre la Confédération suisse d¿une part et la Communauté européenne et ses Etats membres d¿autres, sur la libre circulation des personnes [ALCP ; RS 0.142.112.681] ; art. 25 annexe I ALCP et art.  5 al. 1 lit. a LFAIE).</w:t>
      </w:r>
    </w:p>
    <w:p>
      <w:r>
        <w:rPr>
          <w:b/>
        </w:rPr>
        <w:t>E. 3</w:t>
      </w:r>
    </w:p>
    <w:p>
      <w:r>
        <w:t>A teneur de l'art. 2 LFAIE, l¿acquisition d¿immeubles par des personnes à l¿étranger est subordonnée à une autorisation, laquelle n'est accordée que pour les motifs prévus dans la loi (art. 3 al. 1 LFAIE), énumérés, sous le titre marginal "motifs généraux d'autorisation", à l'art. 8 LFAIE. L'art. 3 al. 2 LFAIE donne en outre la compétence aux cantons de prévoir des motifs supplémentaires d¿octroi de l¿autorisation et des restrictions plus sévères. L'art. 9 al. 2 LFAIE précise que les cantons peuvent disposer, par voie législative, que l¿autorisation peut être accordée, dans les limites de leur contingent, à une personne physique qui acquiert un immeuble en tant que logement de vacances ou appartement dans un apparthôtel. Le canton de Vaud a fait usage de cette faculté. L'art. 1 al. 3 de la loi cantonale du 19 novembre 1986 d'application de la loi fédérale (LVLFAIE; RSV 211.51) dispose en effet ce qui suit: "Sous réserve des motifs impératifs de refus et dans les limites du contingent, l¿autorisation d¿acquérir est accordée à une personne physique lorsque l¿immeuble lui sert de logement de vacances ¿ (art. 9 al. 2 LFAIE)". Cette disposition est complétée par l'art. 4 LVLFAIE dont la teneur est la suivante: 1 pour les appartements ¿, l¿autorisation d¿acquérir un logement de vacances ¿. ne peut être délivrée que si le vendeur a demandé une autorisation de vendre. 2 Celle-ci est accordée, dans les limites du contingent, s¿il a conclu, en la forme authentique, une convention avec un acquéreur remplissant les conditions d¿octroi de l¿autorisation d¿acquérir. Il résulte de ces dispositions que les conditions à l'obtention d'une autorisation d'acquérir sont, sous réserve de motifs impératifs de refus cités à l'art. 12 LFAIE, exhaustivement les suivantes: - l'objet doit servir de logement de vacances; - il doit se situer dans un lieu à vocation touristique selon la liste établie par le Conseil d'Etat; - le contingent cantonal ne doit pas être épuisé; - le vendeur doit avoir demandé une autorisation de vendre, laquelle est accordée si le vendeur a passé, en la forme authentique, une convention de vente avec un acquéreur remplissant les conditions à l'octroi d'une autorisation. En l'occurrence, l'objet doit servir de logement de vacances; il est situé à 7.********, soit dans un lieu à vocation touristique, et bien que le contingent cantonal soit épuisé, la revente entre étrangers peut intervenir hors contingent. En outre, aucun motif de refus au sens de l'art. 12 LFAIE -soit que l¿immeuble sert à un placement de capitaux que la loi n¿autorise pas, que la surface de l¿immeuble est supérieure à ce qu¿exige l¿affectation de celui-ci ou que l¿acquéreur a tenté l¿éluder la loi - ne peut être opposé aux époux BCX.________. Enfin, la venderesse a demandé une autorisation de vendre et présenté à l'autorité un acte de vente conditionnelle dressé par un notaire. Il appert en conséquence, que les conditions posées par l'art. 4 LVLFAIE sont remplies étant encore précisé qu'à teneur de cette disposition, la condition liée au vendeur n'est pas d'avoir obtenu une autorisation de vendre mais de l'avoir demandé, l'autorisation étant alors délivrée si un acte authentique a été dressé. L'autorité intimée faisant cependant une autre lecture de cette disposition, il y a lieu d'en examiner la portée.</w:t>
      </w:r>
    </w:p>
    <w:p>
      <w:r>
        <w:rPr>
          <w:b/>
        </w:rPr>
        <w:t>E. 4</w:t>
      </w:r>
    </w:p>
    <w:p>
      <w:r>
        <w:t>al. 2 initialement adopté prévoyait que l¿autorisation de vendre était accordée si le propriétaire l¿était depuis 15 ans, s¿il ne pouvait plus utiliser personnellement son logement et s¿il avait conclu avec l¿acquéreur une convention en la forme authentique. Le Conseil d¿Etat motivait cette disposition comme suit: « La législation fédérale ne fait plus obstacle, dans les communes dites « touristiques » à la vente d¿un logement de vacances à une personne à l¿étranger par son propriétaire. Dès lors, n¿importe quel propriétaire, suisse ou étranger ¿ celui-ci après l¿échéance du délai d¿interdiction de revente ¿ peut théoriquement vendre son appartement à condition que la surface habitable ne soit pas trop importante et que l¿acheteur ait le droit d¿acquérir. (¿) Si le droit de revente du propriétaire n¿était pas limité, il en résulterait de sérieux inconvénients (¿) Pour éviter ces défauts, il faut limiter le droit de revente aux personnes qui justifient d¿une durée de propriété suffisante et de l¿usage personnel de leur logement. Une durée de quinze ans, pouvant être abaissée à dix ans, paraît suffire. (BGC 2A 1986 p. 353) Cet alinéa a été modifié en 1996. Lors des débats ayant présidé à sa modification, la teneur alors proposée était la suivante : « Celle-ci [l'autorisation] lui est accordée, dans les limites du contingent, s¿il est propriétaire de l¿immeuble depuis trois ans au moins à compter du dernier transfert à titre onéreux ou de la date du permis d¿habiter (¿) s¿il l¿a utilisé personnellement durant ce délai et s¿il a conclu, en la forme authentique, une convention avec un acquéreur (¿). L¿exigence de l¿utilisation personnelle ne concerne ni les terrains à bâtir, ni les logements vendus par le constructeur ». Le délai d¿interdiction de revente a suscité le commentaire suivant: « Si le délai actuel est certainement trop long, sa suppression totale irait à l¿encontre de l¿obligation qu¿à tout acquéreur étranger d¿affecter de manière durable l¿immeuble au but pour lequel l¿autorisation a été accordée (¿). L¿autorité de première instance cantonale devrait probablement réintroduire dans sa pratique un délai de fait pour s¿assurer que cette charge a été respectée. Un délai ramené à trois ans paraît dès lors adéquat et suffisant. » (BGC 2A 1996 p. 4097) La commission était sceptique quant au maintien d¿un délai, dans la mesure où la LFAIE n'en imposait pas (BGC 1996 p. 4102). Elle relevait par ailleurs que le risque était faible de voir une personne vivant à l¿étranger acheter un bien pour le revendre immédiatement. Finalement, l¿art. 4 al. 2 LVLFAIE a été adopté dans sa teneur actuelle, c¿est-à-dire en abrogeant non seulement le délai de revente mais également la notion d¿utilisation personnelle durant ce délai. Force est donc de constater que l'autorité intimée a déduit à tort de l'art. 4 LVLFAIE d'une part que l'acquéreur devait avoir effectivement et personnellement occupé son logement et d'autre part, que cette charge d'occupation était une condition à l'obtention de l'autorisation de vendre.</w:t>
      </w:r>
    </w:p>
    <w:p>
      <w:r>
        <w:rPr>
          <w:b/>
        </w:rPr>
        <w:t>E. 4.1</w:t>
      </w:r>
    </w:p>
    <w:p>
      <w:r>
        <w:t>p. 344 ; 126 I 219 consid. 2a p. 221).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 ATF 129 I 12 consid. 9.1 p. 24 ; 129 V 267 consid.</w:t>
      </w:r>
    </w:p>
    <w:p>
      <w:r>
        <w:rPr>
          <w:b/>
        </w:rPr>
        <w:t>E. 4.1.2</w:t>
      </w:r>
    </w:p>
    <w:p>
      <w:r>
        <w:t>p. 271 ; 128 I 92 consid. 2b p. 95 et les arrêts cités). Le principe de la proportionnalité interdit en outre toute limitation qui aille au-delà du but visé et il exige un rapport raisonnable entre celui-ci et les intérêts publics et privés compromis ( ATF 126 I 129 consid. 2c p. 222 ; 124 I 40 consid. 3e p. 44/45 ; 119 Ia 348 consid. 2a p. 353, et les arrêts cités). Dans le cas présent, la décision litigieuse consacre une violation de la garantie de propriété dès lors qu'aucune base légale suffisante n'autorisait l'autorité intimée à assujettir l'autorisation d'acquérir à des conditions non prévues par la loi. Au surplus, la restriction apportée au droit de propriété de la recourante ne repose sur aucun intérêt public dans la mesure où l'immeuble en cause était déjà en mains étrangères et qu'il ne s'agissait donc pas de prévenir l'emprise étrangère sur le sol suisse.</w:t>
      </w:r>
    </w:p>
    <w:p>
      <w:r>
        <w:rPr>
          <w:b/>
        </w:rPr>
        <w:t>E. 5</w:t>
      </w:r>
    </w:p>
    <w:p>
      <w:r>
        <w:t>L'autorité intimée considère en deuxième lieu que la transaction consiste en fait en un placement de capitaux prohibé par la loi. a) Aux termes de l'art. 12 let. a LFAIE, l'autorisation d'acquérir est refusée lorsque l'immeuble sert à un placement de capitaux. Selon la systématique de la loi qui est construite autour de la notion d'autorisation d'acquérir, ce motif de refus devrait être examiné dans le cadre de l'autorisation d'acquérir et non pas de vendre, soit du point de vue de l'acquéreur, au moment de la demande, et non pas du vendeur. Il s'agit de s'assurer, avant la délivrance de l'autorisation d'acquérir, que les intéressés ne veulent pas simplement placer avantageusement leur fonds ou acquérir un immeuble dans le seul but d'échapper au fisc étranger. C'est ainsi que l'autorisation d'acquérir a été refusée à des étrangers qui entendaient se réserver la possibilité de céder à une organisation d'hébergement, contre paiement d'un loyer, le droit d'utiliser en permanence leurs résidences secondaires. Il a été jugé qu'une telle location pour une longue durée correspondait à un placement de capitaux, lequel ne pouvait constituer un intérêt légitime, même s'il n'y avait pas spéculation ni recherche d'une source sûre de revenus. Le Tribunal fédéral a ainsi confirmé que l'autorisation devait être refusée aux acquisitions servant à placer des capitaux (cf. ATF 102 Ib 28 consid. 2; ATF 102 IV 55 consid. 1b; ATF 104 Ib 141 consid. 4). En l'espèce, en octroyant à la recourante son autorisation d'acquérir en 2005, l'autorité intimée avait estimé que celle-ci ne procédait pas à un placement de capital. Elle n'a invoqué ce motif que lors de la demande d'autorisation de vendre, compte tenu du bénéfice substantiel tiré de l'opération. Or, outre que l'on peut se demander si l'autorité intimée était fondée à examiner cette disposition du point de vue de la venderesse, le simple fait que celle-ci revende son bien quelque trois ans seulement après son acquisition ne permet pas d'affirmer qu'elle avait procédé à un placement en capital. En effet, ses explications justifiant l'achat de l'appartement, d'une part, et sa vente, d'autre part, à savoir en particulier la rupture avec son compagnon pour lequel elle avait fait cette acquisition, paraissent plausibles. Il est constant que des circonstances de la vie amènent parfois les gens à changer leur mode de vie, leurs souhaits ou leurs intentions, toutes choses qui font partie de leur liberté personnelle. De même, l'opération ne devient pas un placement de capital par le simple fait qu'elle génère un bénéfice substantiel. On relèvera que si la recourante vendait son bien à une personne domiciliée en Suisse, la question du placement en capital ne se poserait pas faute d'application de la LFAIE, ce qui tend à démontrer que ce motif ne peut être érigé en motif de refus de vendre. Au surplus, la recourante n'a pas la maîtrise de la conjoncture immobilière et ne peut être tenue pour responsable de vendre son bien à des conditions favorables dès lors que son intention initiale n'était pas d'effectuer un placement en capital, comme l'atteste l'autorisation d'acquérir qui lui a été délivrée, mais d'acquérir un logement de vacances pour elle-même et son compagnon. b) Il faut donc constater que, faute par la LVLFAIE de prévoir d'autres restrictions aux motifs de refus prévus par la législation fédérale (cf. art. 13 LFAIE), l'autorité intimée a outrepassé son pouvoir d'appréciation en s'immisçant, sans base légale, dans une relation contractuelle privée, allant au-delà du but de la loi dont on rappelle qu'il s'agit, outre d¿éviter une hausse des prix par spéculations, de prévenir l'emprise étrangère sur le sol suisse (art. 1 LFAIE). Comme l'a confirmé le Conseil fédéral dans son message de 1981: « L¿article 1 cite comme seul but de la loi celui de limiter l¿acquisition d¿immeubles par des personnes domiciliées à l¿étranger, afin de prévenir l¿emprise étrangère sur le sol suisse. (¿) Axer sur ce seul objectif cet acte législatif doit constituer avec l¿aménagement du territoire un des piliers de la politique foncière du Conseil fédéral. (¿) Il est évident que la nouvelle loi ne sera pas sans incidences dans le domaine de l¿aménagement du territoire, de la protection des sites, de la politique conjoncturelle, régionale et monétaire, dont elle s¿efforcera de ne pas entraver les objectifs dans la poursuite de son objectif propre. (¿) la présente loi détermine si une personne domiciliée à l¿étranger remplit les conditions pour devenir propriétaire d¿un immeuble en Suisse. Mais sa portée s¿arrête là. ¿ » ( FF 1981 III p. 588-589) .</w:t>
      </w:r>
    </w:p>
    <w:p>
      <w:r>
        <w:rPr>
          <w:b/>
        </w:rPr>
        <w:t>E. 6</w:t>
      </w:r>
    </w:p>
    <w:p>
      <w:r>
        <w:t>A teneur de l'art. 26 al. 1 Cst., la propriété est garantie. Cette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w:t>
      </w:r>
    </w:p>
    <w:p>
      <w:r>
        <w:rPr>
          <w:b/>
        </w:rPr>
        <w:t>E. 7</w:t>
      </w:r>
    </w:p>
    <w:p>
      <w:r>
        <w:t>On rappellera enfin qu'à teneur de l'art. 22 LFAIE, l¿autorité ne peut se fonder que sur des allégués qu¿elle a vérifiés et sur lesquels elle a, le cas échéant, réuni les preuves. Selon J-Ch. Perrig, l'autorité ne peut fonder sa décision que sur des faits prouvés, non sur de simples convictions (J-Ch. Perrig, op. cit. p. 105). On peut se demander en l'occurrence si l'autorité intimée ne s'est pas satisfaite de simples indices et de sa propre conviction pour décider que la recourante n'usait pas de son bien comme logement de vacances et qu'elle avait acquis l'immeuble en vue de faire un placement de capital, alors même que les explications fournies à cet égard paraissaient vraisemblables. La question peut toutefois demeurer ouverte.</w:t>
      </w:r>
    </w:p>
    <w:p>
      <w:r>
        <w:rPr>
          <w:b/>
        </w:rPr>
        <w:t>E. 8</w:t>
      </w:r>
    </w:p>
    <w:p>
      <w:r>
        <w:t>Au vu des considérants qui précèdent, le recours doit être admis et la décision litigieuse annulée. Les frais de la cause seront laissés à la charge de l¿Etat (art. 38 et 55 LJPA) et la recourante, qui a procédé par l'intermédiaire d'un avocat,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