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FO.2004.0009 vom 29. März 2005</w:t>
      </w:r>
    </w:p>
    <w:p>
      <w:r>
        <w:t>VD Tribunal cantonal, 2005-03-29, FR</w:t>
      </w:r>
    </w:p>
    <w:p>
      <w:r>
        <w:rPr>
          <w:b/>
        </w:rPr>
        <w:t xml:space="preserve">Quelle: </w:t>
      </w:r>
      <w:r>
        <w:t>https://mcp.opencaselaw.ch/entscheid/vd_omni_FO.2004.0009</w:t>
      </w:r>
    </w:p>
    <w:p>
      <w:r>
        <w:t>FR: VD_OMNI FO.2004.0009 du 29 mars 2005</w:t>
      </w:r>
    </w:p>
    <w:p>
      <w:r>
        <w:t>IT: VD_OMNI FO.2004.0009 del 29 marzo 2005</w:t>
      </w:r>
    </w:p>
    <w:p>
      <w:pPr>
        <w:pStyle w:val="Heading2"/>
      </w:pPr>
      <w:r>
        <w:t>Regeste</w:t>
      </w:r>
    </w:p>
    <w:p>
      <w:r>
        <w:t>CHAUVET/Commission foncière rurale Section II, Office cantonal de la main-d'oeuvre et du placement (OCMP), Office fédéral de la justice, Service de la population (SPOP) | Qu'un étranger ne soit au bénéfice que d'une autorisation de séjour de courte durée pour indépendant n'exclut pas qu'il se constitue un domicile en Suisse.</w:t>
      </w:r>
    </w:p>
    <w:p>
      <w:pPr>
        <w:pStyle w:val="Heading2"/>
      </w:pPr>
      <w:r>
        <w:t>Erwägungen</w:t>
      </w:r>
    </w:p>
    <w:p>
      <w:r>
        <w:rPr>
          <w:b/>
        </w:rPr>
        <w:t>E. 1</w:t>
      </w:r>
    </w:p>
    <w:p>
      <w:r>
        <w:t>a) L’autorité intimée a fondé son refus de dispenser le recourant d’une autorisation d’acquérir des immeubles sur le fait qu’il ne disposait pas d’un domicile en Suisse. b) Selon l’art. 2 alinéa 1er de la loi fédérale sur l’acquisition d’immeubles par des personnes à l’étranger (LFAIE ; RS 211.412.411), l’acquisition d’immeubles par une personne à l’étranger est subordonnée à une autorisation cantonale, à moins notamment qu’il serve de résidence principale à la personne qui l’acquiert, au lieu de son domicile légal effectif. Par personne à l’étranger, on entend notamment, selon l’article 5 lettre a LFAIE, les ressortissants des Etats membres de la Communauté européenne ou de l’Association européenne de libre-échange « qui n’ont pas leur domicile légalement constitué en Suisse ». Cette dernière disposition a été adoptée (cf. la Loi fédérale du 14 décembre 2001 in RO 2002, p. 685 ss ) pour se conformer à l’Accord entre la Confédération suisse, d’une part, et la Communauté européenne et ses Etats membres, d’autre part, sur la libre circulation des personnes conclu le 21 juin 1999 et entré en vigueur le 1 er juin 2002 (ALCP ;RS 0.142.112.681). Selon l’article 25 de l’annexe I ALCP en effet, le ressortissant d’une partie contractante « qui a un droit de séjour et qui constitue sa résidence principale dans l’Etat d’accueil bénéficie des mêmes droits qu’un ressortissant national dans le domaine d’acquisition d’immeubles ». L’article 5 lettre a LFAIE a été précisé par l’article 2 de l’ordonnance sur l’acquisition d’immeubles par des personnes à l’étranger (OAIE ; RS 211.412.411) en ce sens que le domicile est celui des articles 23 ss CC (al. 1) et qu’il « présuppose en outre une autorisation de séjour de courte durée, de séjour ou d’établissement CE-AELE ». Pour un indépendant, une autorisation de séjour de courte durée CE-AELE (cf. art. 4 de l’ordonnance sur l’introduction de la libre circulation des personnes ; OCLP ; RS 142.203) a une durée initiale de six mois, prolongeable de deux mois, après quoi l’intéressé reçoit un titre de séjour d’une durée de cinq ans pour autant qu’il apporte la preuve qu’il exerce une activité indépendante (cf. art. 31. annexe I ALCP ; RS 0.142.112.681). c) En l’espèce, le recourant a obtenu une telle autorisation de courte durée, de sorte que l’autorité intimée n’avait pas à lui dénier le bénéfice d’un titre suffisant au sens de l’article 2 OAIE. d) Quant à l’existence d’un domicile en sens du Code civil, l’autorité intimée a déduit à tort d’une limitation à six mois de l’autorisation de séjour susmentionnée qu’elle était exclue. Comme exposé par le conseil du recourant, l’intention de s’établir, qui constitue l’élément essentiel du domicile peut être reconnue même à celui qui ne dispose que d’un statut précaire en Suisse, ainsi le requérant d’asile débouté (ATF 113 II 5). Il n’y a donc rien à tirer à ce sujet de la brièveté de l’autorisation dont bénéficie le recourant, ce d’autant moins que celle-ci est susceptible d’être convertie en autorisation quinquennale. Encore faut-il cependant pour admettre l’existence d’un domicile qu’effectivement le centre de vie du recourant ait été placé à Vevey. Or, si l’on sait qu’il a résilié le contrat de son logement dans le Sud de la France et qu’il réside dans un hôtel à Vevey, on ignore tout de ses relations personnelles et professionnelles (conjoint, enfants, relation d’affaires, loisirs). Comme relevé par l’autorité fédérale, il s’impose de ne pas s’en tenir à la volonté déclarée du recourant, mais d’astreindre celui-ci à démontrer qu’il s’est créé effectivement un domicile à Vevey. Or, c’est la tâche de l’autorité intimée que de recueillir les éléments d’une telle démonstration. e) Au vu de ce qui précède, la décision attaquée s’avère mal fondée en tant qu’elle nie au recourant la faculté de s’être créé un domicile en Suisse, ce qui conduit à son annulation, avec renvoi pour complément d’instruction au sujet de l’existence d’un domicile effectif. Obtenant gain de cause et ayant procédé par l’intermédiaire d’un avocat, le recourant à droit à des dépens, dont il convient de fixer le montant 2'000.- (deux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