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FO.2003.0002 vom 2. September 2003</w:t>
      </w:r>
    </w:p>
    <w:p>
      <w:r>
        <w:t>VD Tribunal cantonal, 2003-09-02, FR</w:t>
      </w:r>
    </w:p>
    <w:p>
      <w:r>
        <w:rPr>
          <w:b/>
        </w:rPr>
        <w:t xml:space="preserve">Quelle: </w:t>
      </w:r>
      <w:r>
        <w:t>https://mcp.opencaselaw.ch/entscheid/vd_omni_FO.2003.0002</w:t>
      </w:r>
    </w:p>
    <w:p>
      <w:r>
        <w:t>FR: VD_OMNI FO.2003.0002 du 2 septembre 2003</w:t>
      </w:r>
    </w:p>
    <w:p>
      <w:r>
        <w:t>IT: VD_OMNI FO.2003.0002 del 2 settembre 2003</w:t>
      </w:r>
    </w:p>
    <w:p>
      <w:pPr>
        <w:pStyle w:val="Heading2"/>
      </w:pPr>
      <w:r>
        <w:t>Regeste</w:t>
      </w:r>
    </w:p>
    <w:p>
      <w:r>
        <w:t>Al-SABAH Nasser c/Commission foncière, Section II | L'entretien d'une quinzaine de véhicules appartenant à une personne privée ne constitue pas une activité artisanale au sens de l'art. 2 al. 2 litt. a) LFAIE.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LFAIE, l'acquisition d'immeubles par des personnes à l'étranger est subordonnée à une autorisation de l'autorité cantonale compétente. Selon l'al.</w:t>
      </w:r>
    </w:p>
    <w:p>
      <w:r>
        <w:rPr>
          <w:b/>
        </w:rPr>
        <w:t>E. 2</w:t>
      </w:r>
    </w:p>
    <w:p>
      <w:r>
        <w:t>al. 2 litt. a) LFAIE, même par analogie. Partant, le recours doit être rejeté, les frais de la procédure étant mis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