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FO.2002.0003 vom 10. Juni 2005</w:t>
      </w:r>
    </w:p>
    <w:p>
      <w:r>
        <w:t>VD Tribunal cantonal, 2005-06-10, FR</w:t>
      </w:r>
    </w:p>
    <w:p>
      <w:r>
        <w:rPr>
          <w:b/>
        </w:rPr>
        <w:t xml:space="preserve">Quelle: </w:t>
      </w:r>
      <w:r>
        <w:t>https://mcp.opencaselaw.ch/entscheid/vd_omni_FO.2002.0003</w:t>
      </w:r>
    </w:p>
    <w:p>
      <w:r>
        <w:t>FR: VD_OMNI FO.2002.0003 du 10 juin 2005</w:t>
      </w:r>
    </w:p>
    <w:p>
      <w:r>
        <w:t>IT: VD_OMNI FO.2002.0003 del 10 giugno 2005</w:t>
      </w:r>
    </w:p>
    <w:p>
      <w:pPr>
        <w:pStyle w:val="Heading2"/>
      </w:pPr>
      <w:r>
        <w:t>Regeste</w:t>
      </w:r>
    </w:p>
    <w:p>
      <w:r>
        <w:t>CHEVALLEY/Service de l'agriculture, Département de l'économie Section juridique | N'a pas droit aux paiements directs celui qui a déclaré à un adjudicataire qu'il renonçait à exploiter, même si l'autorité ayant organisé la vente aux enchères l'avait autorisé à poursuivre son activité.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Selon l'art. 67 de l'ordonnance sur les paiements directs versés dans l'agriculture (OPD; RS 910.13), les contributions dues aux exploitants agricoles sont déterminées "en fonction de la situation le jour de référence". Celui-ci correspond à "la date de relevé fixée selon l'ordonnance du 7 décembre 1998 sur les données agricoles". Pour l'année 2000, l'Office fédéral de l'agriculture (OFAG) a fixé cette date au 2 mai. Commentant l'art. 67 OPD, cette autorité a exposé notamment ce qui suit (www.blw.admin.ch) : "Les conditions prévalant le jour de référence sont en principe déterminantes. Seul celui qui, ce jour-là, est exploitant peut faire valoir un droit aux contributions. Une éventuelle répartition de celles-ci - lors de cessions d'exploitations, par exemple – doit être réglée par les exploitants sur la base de contrats de droit privé."</w:t>
      </w:r>
    </w:p>
    <w:p>
      <w:r>
        <w:rPr>
          <w:b/>
        </w:rPr>
        <w:t>E. 2</w:t>
      </w:r>
    </w:p>
    <w:p>
      <w:r>
        <w:t>de la loi fédérale sur l’agriculture (RS 910.1), « indépendamment de l'application des dispositions pénales".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