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FI.2025.0139 vom 6. November 2025</w:t>
      </w:r>
    </w:p>
    <w:p>
      <w:r>
        <w:t>VD Tribunal cantonal, 2025-11-06, FR</w:t>
      </w:r>
    </w:p>
    <w:p>
      <w:r>
        <w:rPr>
          <w:b/>
        </w:rPr>
        <w:t xml:space="preserve">Quelle: </w:t>
      </w:r>
      <w:r>
        <w:t>https://mcp.opencaselaw.ch/entscheid/vd_omni_FI.2025.0139</w:t>
      </w:r>
    </w:p>
    <w:p>
      <w:r>
        <w:t>FR: VD_OMNI FI.2025.0139 du 6 novembre 2025</w:t>
      </w:r>
    </w:p>
    <w:p>
      <w:r>
        <w:t>IT: VD_OMNI FI.2025.0139 del 6 novembre 2025</w:t>
      </w:r>
    </w:p>
    <w:p>
      <w:pPr>
        <w:pStyle w:val="Heading2"/>
      </w:pPr>
      <w:r>
        <w:t>Regeste</w:t>
      </w:r>
    </w:p>
    <w:p>
      <w:r>
        <w:t>A.________/Administration cantonale des impôts, Administration fédérale des contributions | Irrecevabilité du recours, l'avance de frais requise ayant été effectuée deux jours après l'échéance du délai imparti. Les conditions d'une restitution du délai ne sont pas réunies; il appartenait au recourant, qui se savait partie à une procédure judiciaire, de s’organiser afin que le paiement de l’avance de frais requise soit effectué en temps utile, sinon de requérir une prolongation du délai à cet effet en temps utile. Recours pendant au TF.</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 simple fait de donner un ordre de paiement à sa banque ou la poste ne constitue pas encore la preuve que le compte est effectivement débité à cette date (v. arrêts FI.2024.0064 du 5 juin 2024; GE.2023.0058 du 2 mai 2023; PE.2029.0442 du 4 avril 2020; CR.2015.0013 du 18 mars 2015; GE.2009.0221 du 27 janvier 2010). Les délais impartis par l'autorité peuvent être prolongés pour des motifs suffisants, si la partie en fait la demande avant l'expiration (art. 21 al. 2 LPA-VD).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97 consid. 2.1 p. 100; arrêts TF 4A_207/2019 du 17 août 2020 consid. 4.3, non publié in ATF 146 III 413; 6B_1187/2016 du 6 juillet 2017 consid. 1.4; 6B_51/2015 du 28 octobre 2015 consid. 2.1). b) En l’occurrence, le recourant a été requis, par ordonnance du 9 octobre 2025, d’effectuer une avance de frais de 6’000 fr., montant fixé en conformité avec l’art. 4 al. 1 du tarif du 28 avril 2015 des frais judiciaires et des dépens en matière administrative (TFJDA; BLV 173.36.5.1), dans un délai échéant le 29 octobre 2025. Son attention a expressément été attirée sur les conséquences de l'inobservation de ce délai. Or, l'avance de frais requise n'a pas été effectuée dans le délai fixé par le juge instructeur, puisqu’elle est intervenue deux jours après, soit le 31 octobre 2025. A moins que les conditions de la restitution de ce délai ne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Une négligence du mandataire, imputable à la partie elle-même, ne constitue en revanche ni un cas d’impossibilité objective, ni d’impossibilité subjective due à des circonstances personnelles excusables (v. sur ce point, ATF 149 IV 196 consid. 1.1 p. 198; 143 I 284 consid. 1.3 p. 287; arrêts TF  9C_746/2023 du 10 mars 2025 consid. 3; 2F_4/2020 du 14 avril 2020 consid. 3; 2C_911/2010 du 7 avril 2011 consid. 3; 1D_7/2009 du 16 novembre 2009, consid. 4; 9C_137/2008 du 22 juin 2009 et 2A.728/2006 du 18 avril 2007 consid. 3.2; CDAP arrêts FI.2024.0054 du 15 mai 2024; GE.2023.0058 du 2 mai 2023; FI.2021.0052 du 18 octobre 2021; CR.2015.0013 du 18 mars 2015; PE.2014.0049 du</w:t>
      </w:r>
    </w:p>
    <w:p>
      <w:r>
        <w:rPr>
          <w:b/>
        </w:rPr>
        <w:t>E. 3</w:t>
      </w:r>
    </w:p>
    <w:p>
      <w:r>
        <w:t>Les frais de justice seront laissés à la charge de l'Etat (art. 49 al. 1, 50, 91 et 99  LPA VD) et l’avance effectuée par le recourant lui sera restituée.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