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FI.2025.0024 vom 28. November 2025</w:t>
      </w:r>
    </w:p>
    <w:p>
      <w:r>
        <w:t>VD Tribunal cantonal, 2025-11-28, FR</w:t>
      </w:r>
    </w:p>
    <w:p>
      <w:r>
        <w:rPr>
          <w:b/>
        </w:rPr>
        <w:t xml:space="preserve">Quelle: </w:t>
      </w:r>
      <w:r>
        <w:t>https://mcp.opencaselaw.ch/entscheid/vd_omni_FI.2025.0024</w:t>
      </w:r>
    </w:p>
    <w:p>
      <w:r>
        <w:t>FR: VD_OMNI FI.2025.0024 du 28 novembre 2025</w:t>
      </w:r>
    </w:p>
    <w:p>
      <w:r>
        <w:t>IT: VD_OMNI FI.2025.0024 del 28 novembre 2025</w:t>
      </w:r>
    </w:p>
    <w:p>
      <w:pPr>
        <w:pStyle w:val="Heading2"/>
      </w:pPr>
      <w:r>
        <w:t>Regeste</w:t>
      </w:r>
    </w:p>
    <w:p>
      <w:r>
        <w:t>A.________/Administration cantonale des impôts, Administration fédérale des contributions | Confirmation de l'irrecevabilité d'une réclamation contre une décision de taxation; malgré ses explications, le recourant n'apporte aucune preuve de ce qu’un pli contenant la réclamation dont il se prévaut a bien été adressé à l’autorité de taxation dans le délai de trente jours. Pas de motif de restituer ce délai; le recourant ne fait valoir aucune circonstance qui l’aurait empêché objectivement de former réclamation en temps utile. Rejet du recours et confirmation de la décision attaquée.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Dans la décision attaquée, l’autorité intimée a refusé d’entrer en matière sur la réclamation formée contre la taxation de la période fiscale 2022, dès lors que celle-ci avait été interjetée, selon elle, de façon tardive. 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Les délais fixés dans la loi ne peuvent être prolongés (cf. art. 119 al. 1 LIFD; 21 al. 1 LPA-VD, applicable par renvoi de l’art. 188 al. 6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Les délais de réclamation et de recours sont péremptoires (v. Lydia Masmejan-Fey/Guillaume Vianin, in : Commentaire romand, Impôt fédéral direct, 2 e éd., Noël/Aubry Girardin [édit.], Bâle 2017, ad art. 119 LIFD, n° 3; Xavier Oberson, Le contentieux fiscal, in : Les procédures en droit fiscal, OREF [éd.] 3 e éd., Berne/Stuttgart/Vienne 2022,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L'application stricte des règles sur les délais de recours ne relève pas d'un formalisme excessif, mais se justifie dans l'intérêt d'un bon fonctionnement de la justice et de la sécurité du droit, ainsi que pour des motifs d'égalité de traitement (cf. ATF 149 IV 97 consid. 2.1 p. 100; 104 Ia 4 consid. 3 p. 5). L’inobservation des délais légaux ne peut, quant à elle, être corrigée que par la voie de la restitution (v. Jean-Maurice Frésard, in : Commentaire de la loi sur le Tribunal fédéral, Aubry Girardin et al. [édit.], 3 e éd., Berne 2022, ad art. 47 LTF n° 4). b) L’art. 116 al. 1 LIFD prescrit que les décisions et les prononcés sont notifiés au contribuable par écrit et doivent indiquer les voies de droit. L’art. 44 LPA-VD, auquel renvoie l’art. 163 LI,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La preuve de la notification peut néanmoins résulter d'autres indices ou de l'ensemble des circonstances, par exemple d'un échange de correspondances ultérieur ou du comportement du destinataire (ATF 142 IV 125 consid. 4.3 p. 128; voir aussi ATF 145 IV 252 consid. 1.3.2 p. 254). L'autorité qui entend se prémunir contre le risque d'échec de la preuve de la notification doit ainsi communiquer ses actes judiciaires sous pli recommandé avec accusé de réception (ATF 129 I 8 consid. 2.2 p. 11; TF 1C_557/2020 du 10 février 2021 consid. 2.2). De façon générale, la preuve qu'un acte de procédure a été accompli en temps utile incombe à la partie qui s'en prévaut (cf. TF 4A_374/2014 du 26 février 2015 consid. 3.2; 9C_564/2012 du 12 septembre 2012 consid. 2; Frésard, op. cit., n°29  ad art. 48 LTF). c)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arrêts FI.2005.0202 du 26 septembre 2006; FI.2004.0105 du 10 janvier 2006; FI.2003.0127 du 29 avril 2004; FI.2003.0099 du 3 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w:t>
      </w:r>
    </w:p>
    <w:p>
      <w:r>
        <w:rPr>
          <w:b/>
        </w:rPr>
        <w:t>E. 4</w:t>
      </w:r>
    </w:p>
    <w:p>
      <w:r>
        <w:t>a) En l’occurrence, la décision de taxation du 4 mars 2024 ne constitue pas une taxation d’office au sens où l’entendent les art. 130 al. 2 LIFD et 180 al. 2 LI, comme le recourant l’indique à plusieurs reprises. L’autorité de taxation n’a pas évalué les éléments imposables du recourant par appréciation. Il s’agit au contraire d’une décision de taxation qui s’écarte du contenu de la déclaration, les motifs étant indiqués comme l’exigent les art. 131 al. 2 LIFD et 181 al. 2 LI. Ce faisant, l'autorité intimée a renoncé à procéder par la voie de la taxation d’office. Cela ne l’empêchait cependant pas d’établir les éléments imposables par appréciation, dans le respect des règles relatives au fardeau de la preuve (arrêt TF 2C_404/2019 du 29 janvier 2020 consid. 2.4; 2A.561/2005 du 22 février 2006 consid. 3; CDAP arrêt FI.2023.0013 du 3 janvier 2024 consid. 3). En effet, le recourant n’a pas donné suite à la demande de renseignements qui lui avait été adressée par l’autorité de taxation, conformément aux art. 126 al. 2 LIFD et 176 al. 2 LI, le 20 décembre 2023 et qui a dû être renouvelée le 26 janvier 2024. Le recourant n'ayant pas satisfait à son devoir de collaboration, consacré par les art. 126 al. 1 LIFD et 176 al. 1 LI, l’autorité de taxation a opéré une reprise dans le revenu et la fortune déclarés. b) La décision de taxation du 4 mars 2024, qui fait mention des voies de droit et du délai de réclamation, a été notifiée au recourant par pli simple, comme le permet l’art. 44 al. 2 LPA-VD, et non par pli recommandé. L’autorité intimée n’est donc pas en mesure de prouver la date à laquelle la décision a effectivement été notifiée au recourant; cela ne signifie pas encore qu’elle devait entrer en matière sur la réclamation. On relève à cet égard que, le 13 mars 2024 à tout le moins, le recourant était en possession de la décision de taxation, puisqu’il a produit devant l’autorité de taxation, en annexe à sa correspondance du 3 mai 2024, l’original de la réclamation qu’il prétend avoir formée à cette date-là, à l’encontre de cette décision. Ceci étant, dans la mesure où le recourant se prévaut d’avoir exercé son droit en temps utile, soit dans le délai de trente jours prévu par les art. 132 al. 1 LIFD et 186 al. 1 LI, il lui appartenait d’en apporter la preuve. Or, aucune preuve de ce qu’un pli contenant la réclamation datée du 13 mars 2024 a bien été adressé à l’autorité de taxation dans ce délai n’a été rapportée; en effet, c’est seulement en annexe à sa correspondance du 3 mai 2024 que cette réclamation a, pour la première fois, été acheminée en mains de l’autorité de taxation. Ainsi, on retiendra que c’est lorsque des rappels de paiement de l’impôt lui ont été adressés que le recourant a formé réclamation contre la décision de taxation. Or, le 3 mai 2024, le délai de trente jours était échu, dans la mesure où le recourant était en possession de la décision le 13 mars 2024, à tout le moins. c) Au vu de ce qui précède, la décision de taxation du 4 mars 2024 est entrée en force. En effet, il n’y a aucun doute sur le fait que la réclamation était tardive, de sorte que l’autorité intimée ne pouvait légalement entrer en matière, sous réserve d’un motif de restitution de ce délai, ce qui sera examiné ci-après.</w:t>
      </w:r>
    </w:p>
    <w:p>
      <w:r>
        <w:rPr>
          <w:b/>
        </w:rPr>
        <w:t>E. 5</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Une négligence du mandataire, imputable à la partie elle-même, ne constitue en revanche ni un cas d’impossibilité objective, ni d’impossibilité subjective due à des circonstances personnelles excusables (v. sur ce point, ATF 149 IV 196 consid. 1.1 p. 198; 143 I 284 consid. 1.3 p. 287; arrêts TF  9C_746/2023 du 10 mars 2025 consid. 3; 2F_4/2020 du 14 avril 2020 consid. 3; 2C_911/2010 du 7 avril 2011 consid. 3; 1D_7/2009 du 16 novembre 2009, consid. 4; 9C_137/2008 du 22 juin 2009 et 2A.728/2006 du 18 avril 2007 consid. 3.2; CDAP arrêts FI.2024.0054 du 15 mai 2024; GE.2023.0058 du 2 mai 2023; FI.2021.0052 du 18 octobre 2021; CR.2015.0013 du 18 mars 2015; PE.2014.0049 du 3 mars 2014; PE.2013.0247 du 14 août 2013). b) En l’espèce, le recourant ne fait valoir aucune circonstance qui l’aurait empêché objectivement de former réclamation en temps utile. Il s’en prend à la décision attaquée en ce qu’elle violerait plusieurs des principes fondamentaux du droit fiscal. Or, il s’agit là de motifs de droit matériel sur lesquels il n’y a pas lieu d’entrer en matière, dans la mesure où la décision attaquée est entrée en force et ne peut plus être contestée par une voie de droit ordinaire. Au surplus, la négligence du recourant ne constitue ni un cas d’impossibilité objective, ni d’impossibilité subjective due à des circonstances personnelles excusables. Dans ces conditions, l’autorité intimée n’avait aucune raison de lui restituer le délai de réclamation échu.</w:t>
      </w:r>
    </w:p>
    <w:p>
      <w:r>
        <w:rPr>
          <w:b/>
        </w:rPr>
        <w:t>E. 6</w:t>
      </w:r>
    </w:p>
    <w:p>
      <w:r>
        <w:t>Les considérants qui précèdent conduisent au rejet du recours et à la confirmation de la décision attaquée. Le sort du recours commande qu’un émolument d’arrêt soit mis à la charge du recourant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