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FI.2025.0004 vom 11. August 2025</w:t>
      </w:r>
    </w:p>
    <w:p>
      <w:r>
        <w:t>VD Tribunal cantonal, 2025-08-11, FR</w:t>
      </w:r>
    </w:p>
    <w:p>
      <w:r>
        <w:rPr>
          <w:b/>
        </w:rPr>
        <w:t xml:space="preserve">Quelle: </w:t>
      </w:r>
      <w:r>
        <w:t>https://mcp.opencaselaw.ch/entscheid/vd_omni_FI.2025.0004</w:t>
      </w:r>
    </w:p>
    <w:p>
      <w:r>
        <w:t>FR: VD_OMNI FI.2025.0004 du 11 août 2025</w:t>
      </w:r>
    </w:p>
    <w:p>
      <w:r>
        <w:t>IT: VD_OMNI FI.2025.0004 del 11 agosto 2025</w:t>
      </w:r>
    </w:p>
    <w:p>
      <w:pPr>
        <w:pStyle w:val="Heading2"/>
      </w:pPr>
      <w:r>
        <w:t>Regeste</w:t>
      </w:r>
    </w:p>
    <w:p>
      <w:r>
        <w:t>A.________, B.________/Administration cantonale des impôts, Administration fédérale des contributions | C'est à bon droit que les autorités fiscales ont refusé d'appliquer un quotient familial de 2,8 au revenu et à la fortune imposables des recourants pour l'ICC durant la période fiscale 2022, tout comme elles ont refusé la déduction revendiquée de leur revenu imposable et le barème parental pour l'IFD. Dans la mesure où leurs enfants majeurs aux études disposaient chacun d'une fortune mobilière de plus de 100'000 fr. et n'étaient plus à leur charge, la contribution des recourants n'apparaît pas véritablement nécessaire et indispensable à l'entretien de leurs enfants et revêt davantage le caractère d'une libéralité. Les recourants ont refusé la solution transactionnelle proposée par un collaborateur de l'autorité intimée de retenir un quotient familial de 2.3 pour leur fils et ont décidé de maintenir leur réclamation; les conditions leur permettant d'invoquer la protection constitutionnelle de leur bonne foi ne sont pas réunies.</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des recourants durant la période fiscale 2022, tant en ce qui concerne l'impôt cantonal et communal (ICC) que l'impôt fédéral direct (IFD).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et la problématique sont les mêmes pour les deux catégories d'impôt. La cour statuera dès lors en un seul arrêt, sans distinguer entre l'impôt fédéral direct, d'une part, et l'impôt cantonal et communal, d'autre part, comme la jurisprudence qui vient d'être rappelée lui permet de le faire (cf. entre autres arrêts CDAP FI.2018.0074 du 22 novembre 2018 consid. 2; FI.2016.0037 du 16 décembre 2016 consid. 2 et FI.2015.0069 du 11 juillet 2016 consid. 2).</w:t>
      </w:r>
    </w:p>
    <w:p>
      <w:r>
        <w:rPr>
          <w:b/>
        </w:rPr>
        <w:t>E. 3</w:t>
      </w:r>
    </w:p>
    <w:p>
      <w:r>
        <w:t>En l'espèce, la décision attaquée confirme le refus d'appliquer un quotient familial de 2,8 au revenu et à la fortune imposables des recourants pour l'ICC durant la période fiscale 2022, tout comme elle refuse la déduction revendiquée de 13'000 fr. (2 x 6'500 fr.) de leur revenu imposable et le barème parental pour l'IFD, compte tenu de la fortune de leurs enfants majeurs aux études. Les recourants font principalement grief à l'autorité intimée de ne pas avoir tenu compte de la réalité des faits dans la décision attaquée. Ils expliquent à cet égard avoir pris en charge l'entretien de leurs deux enfants jusqu'alors et ont continué à le faire durant l'année 2022.</w:t>
      </w:r>
    </w:p>
    <w:p>
      <w:r>
        <w:rPr>
          <w:b/>
        </w:rPr>
        <w:t>E. 4</w:t>
      </w:r>
    </w:p>
    <w:p>
      <w:r>
        <w:t>a) A teneur des art. 25 LIFD et 29 LI , le revenu net se calcule en défalquant du total des revenus imposables les déductions générales et les frais mentionnés aux art. 26 à 33a LIFD, respectivement 30 à 37 LI. S'agissant des éléments admis en déduction, on distingue les déductions dites organiques (frais d'acquisition du revenu; art. 26 à 32 LIFD, 30 à 36 LI), les déductions générales (dites aussi anorganiques), ainsi que les déductions sociales ( art. 35 LIFD et 37 LI ), quand bien même l' art. 25 LIFD ne mentionne pas cette dernière catégorie. 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(ATF 141 II 338 consid. 4.5 p. 344; 133 II 305 consid. 5.1 p. 309 et les références citées). b) Parmi les couples mariés vivant en ménage commun, le législateur distingue s'ils ont ou non des enfants. Sans enfant, les couples mariés vivant en ménage commun ne bénéficient que du barème pour couple et de la déduction pour assurances du couple. A condition d'assurer l'entretien des enfants, les couples mariés vivant en ménage commun ont droit, en plus du barème pour couple, à la déduction sociale pour enfant prescrite à l'art. 35 al. 1 let. a LIFD, aux termes duquel sont déduits du revenu 6'800 francs (6'500 fr. dans le texte en vigueur au 1 er janvier 2022, donc applicable à la période ici concernée) pour chaque enfant mineur ou faisant un apprentissage ou des études, dont le contribuable assure l’entretien (1 ère phrase). La loi n'exige pas à cet effet qu'ils vivent en ménage commun avec les enfants (pour le cas d'un enfant majeur en formation: arrêt TF 2A.536/2001 du 29 mai 2002, publié in : RF 57/2002 p. 632). La déduction pour enfant permet de tenir compte que des parents qui assurent normalement l'entretien des enfants et leur minimum vital ont, à revenu équivalent, une capacité contributive inférieure à celle de contribuables sans enfant (v. Christine Jaques, in : Commentaire romand, Impôt fédéral direct, 2 e éd., Bâle 2017, Noël/Aubry Girardin [édit.], n. 9 ad art. 35, réf. citée.). L'attribution de la déduction pour enfant de l'art. 35 al. 1 let. a LIFD est soumise à la condition que les parents assurent l'entretien de l'enfant majeur en formation. Pour déterminer l'obligation alimentaire des parents envers leur enfant majeur encore en formation (cf. art. 277 al. 2 CC), la jurisprudence précise qu'un juste équilibre doit être trouvé entre la contribution que l'on peut attendre des parents, compte tenu de toutes les circonstances, et la prestation que l'on peut attendre de l'enfant, c'est-à-dire sa contribution à son entretien par son propre travail ou par d'autres moyens (cf. arrêts TF 9C_190/2023 du 15 novembre 2023 consid. 4.4; 5A_706/2022 du 21 mars 2023 consid. 4.1.2; 5A_340/2021 du 16 novembre 2021 consid. 3.1). Pour qu'ils aient droit à cette déduction, les prestations des parents ne doivent dès lors pas constituer une simple libéralité en faveur de l'enfant, mais une contribution nécessaire à son entretien (Jaques, op. cit., n.21, réf. citée). Si, dans le cadre de sa formation ou de ses études, l'enfant majeur obtient un revenu qui lui permet d'assurer son entretien de manière indépendante, la déduction pour enfant ne saurait dès lors être revendiquée (cf. Peter Agner/Angelo Digeronimo/Hans-Jürg Neuhaus/Gotthard Steinmann, Commentaire de la loi sur l'impôt fédéral direct, Complément, Zurich 2001, ad art. 35 LIFD , p. 163). Dans ce contexte, la situation de fortune de l'enfant doit aussi être prise en considération dans la mesure où la réalisation de celle-ci pour financer l'entretien peut être raisonnablement exigée (cf. arrêts TF 9C_190/2023 déjà cité consid. 4.3; 2C_357/2010 du 14 juin 2011 consid. 2.1, réf. citées; cf. en outre, Administration fédérale des contributions, Circulaire n° 30, Imposition des époux et de la famille selon la LIFD, 21 décembre 2010, ch. 10.3). A cela s'ajoute que l' art. 36 LIFD prévoit un barème de base (al. 1), un barème pour les époux vivant en ménage commun ("barème pour couple"; al. 2) et un barème pour les personnes qui vivent en ménage commun avec des enfants ou des personnes nécessiteuses dont elles assument pour l'essentiel l'entretien ("barème parental"; al. 2 bis ). Ces barèmes tiennent compte de la capacité économique différente de ces trois catégories de contribuables. Le barème pour couple vivant en ménage commun est applicable aux conjoints vivant avec un ou plusieurs enfants majeurs ayant achevé leur formation, de sorte que cesse l'octroi d'une déduction sociale; il est également applicable aux époux vivant avec un enfant majeur en formation dont ils n'assurent pas l'entretien, en particulier parce que ce dernier dispose de ressources propres (Jaques, op. cit., n. 16 ad art. 36 LIFD). Le barème parental combine l'application du barème pour personnes mariées avec celle d'une déduction sur le montant de l'impôt par enfant dont elles assurent l'essentiel de l'entretien (Jaques, op. cit., n. 28; Circulaire n° 30, ch. 13.4.2). c) En ce qui concerne les impôts cantonaux, les déductions sociales ne sont pas harmonisées et sont du seul ressort des cantons (cf. art. 9 al. 4 de la loi fédérale du 14 décembre 1990 sur l’harmonisation des impôts directs des cantons et des communes [LHID; RS 642.14]; arrêts TF 9C_408/2024 du 23 octobre 2024 consid. 5.1; 2C_216/2020 du 24 avril 2020 consid. 3.2). La teneur de cette dernière disposition laisse une grande marge de manœuvre au législateur cantonal dans la mise en place des déductions sociales (cf. arrêt TF 2C_287/2015 du 23 juillet 2015 consid. 3.2 et les références citées). Dans le canton de Vaud, l'art. 38 let. a LI prévoit que les frais d'entretien du contribuable et de sa famille, y compris les dépenses privées résultant de sa situation professionnelle, ne peuvent être déduits. La matière est régie à l'art. 43 LI, dont le contenu est le suivant: " 1 Le revenu déterminant pour le taux d'imposition correspond au revenu imposable du contribuable, divisé par le total des parts résultant de sa situation de famille. L'alinéa 3 est réservé. 2 Les parts sont les suivantes : a.         1 pour le contribuable célibataire, veuf, divorcé ou imposé séparément selon                 l'article 10 ; b.         1,8 pour les époux vivant en ménage commun (art. 9); c.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Le Conseil d'Etat édicte les                          règles d'application de cette disposition. d.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3 La réduction du revenu déterminant pour le taux, octroyée selon l'alinéa 2, lettre d est plafonnée. La réduction ne peut excéder celle obtenue pour un enfant au niveau de 180'000 francs de revenu imposable; ce montant est augmenté de 20'000 francs par enfant supplémentaire." Quand bien même ces règles ne sont pas harmonisées, l'interprétation de l'art. 43 al. 2 LI doit s'inspirer de celle qui prévaut pour les art. 35 et 35 LIFD. d) Dans le domaine fiscal, les règles générales du fardeau de la preuve, qui sont destinées à déterminer qui doit supporter les conséquences de l'échec de la preuve ou de l'absence de preuve d'un fait (ATF 147 II 338 consid. 3.2),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arrêts TF 2C_722/2017 du 13 décembre 2017 consid. 5.2; 2C_47/2009 du 26 mai 2009 consid. 5.4). Les règles précitées s'appliquent également à la procédure devant les autorités de recours en matière fiscale comme en l’espèce (cf. art. 142 al. 4 LIFD; arrêt TF 2C_47/2009 déjà cité consid. 5 et les références citées).</w:t>
      </w:r>
    </w:p>
    <w:p>
      <w:r>
        <w:rPr>
          <w:b/>
        </w:rPr>
        <w:t>E. 5</w:t>
      </w:r>
    </w:p>
    <w:p>
      <w:r>
        <w:t>a) La décision attaquée ne remet pas en cause le statut d'étudiant des deux enfants des recourants durant l'année 2022; ce point n'a donc pas à être discuté. De même, il n'est pas contesté que ces derniers aient contribué à l'entretien de leurs enfants durant cette même période. En revanche, c'est le caractère même de cette contribution qui constitue in casu l'objet du litige. En effet, C.________ a déclaré, au 31 décembre 2022, une fortune mobilière nette de 112'365 fr. et D.________, à la même date, une fortune mobilière nette de 175'101 francs. Il ressort des explications des recourants que cette fortune était déposée sur des comptes en banque; ces derniers ne contestent donc pas le fait que cette fortune était liquide et mobilisable. Dans ces conditions, il est difficile de retenir que leur contribution était véritablement nécessaire et indispensable à l'entretien de leurs enfants; au contraire, elle revêt davantage le caractère d'une libéralité. En effet, on pouvait attendre de C.________ comme de D.________ qu'ils mettent à contribution leur fortune afin d'assurer leur entretien de manière indépendante durant cette période. Du reste, il est apparu, durant la procédure de réclamation, que C.________ avait payé ses frais d'écolage en puisant dans sa fortune propre à hauteur de 45'000 fr. pour l'ensemble du cursus, ce que les recourants confirment dans leur dernière écriture. L'origine des fonds importe peu; il est indifférent à cet égard de savoir que ces comptes en banque ont été alimentés par les allocations familiales perçues ou par d'autres libéralités et dons consentis par la famille des intéressés. L'essentiel est de constater qu'objectivement, C.________ et D.________ n'étaient plus, au vu du montant de leur fortunes respectives, à la charge de leurs parents en 2022. Cela suffit à refuser aux recourants un taux d'imposition privilégié en droit cantonal, de même que la déduction revendiquée et le barème d'imposition parental en droit fédéral. b) Les recourants reprochent à l'autorité intimée de n'avoir pas pris en considération, dans la décision attaquée, le fait qu'initialement leur interlocuteur avait proposé, au cours d'un entretien téléphonique le 14 mai 2024, de retenir un quotient familial de 2.3 pour le seul C.________. On rappelle sur ce point que l'art. 134 LIFD dispose que l'autorité de taxation et l’administration cantonale de l’IFD jouissent des mêmes compétences dans la procédure de réclamation que dans celle de taxation. En outre, l'art. 135 LIFD précise que l’autorité de taxation prend, après enquête, une décision sur la réclamation; elle peut déterminer à nouveau tous les éléments de l’impôt et, après avoir entendu le contribuable, modifier la taxation même au désavantage de ce dernier. La LI, pour sa part, renvoie aux dispositions de la LPA-VD (cf. art. 188 al. 6 LI), dont l’art. 63 dispose qu’en procédure non contentieuse, ainsi qu’en procédure de réclamation (cf. le renvoi de l’art. 70 LPA-VD), dans les limites de la loi, l'autorité administrative dispose d'un libre pouvoir d'examen (al. 1); elle n'est pas liée par les conclusions des parties (al. 2). L’autorité peut modifier la décision à l'avantage ou au détriment du recourant (art. 89 al. 2 LPA-VD, applicable par renvoi de l’art. 72 LPA-VD). Dans ce dernier cas, elle l'en informe et lui impartit un délai pour se déterminer ou pour retirer son recours (art. 89 al. 3 LPA-VD; cf. CDAP FI.2018.0139 du 17 juin 2019). En l'occurrence, il faut souligner que la décision de taxation refusait toute déduction pour personne à charge. Ce n'est que dans le cadre d'un entretien, qui a eu lieu à l'autorité intimée suite au dépôt de la réclamation, que cette dernière s'est montré prête à admettre une part de 0,5 et la déduction s'agissant de C.________ uniquement. Le cas d'espèce ne correspond ainsi pas au cas de figure visé par l'art. 89 al. 2 LPA-VD, qui implique la modification de la décision attaquée. Au surplus, les recourants ont refusé la solution transactionnelle proposée et ont décidé de maintenir leur réclamation. La manière de procéder de l'autorité intimée, qui s’avère moins favorable pour les recourants que la solution transactionnelle proposée, ne prête ainsi pas le flanc à la critique (dans le même sens, arrêt FI.2020.0027 du 16 juillet 2020 consid. 1b). Au surplus, les recourants ne sont pas fondés à se prévaloir sur ce point de la protection constitutionnelle de leur bonne foi, qui découle de l'art. 9 Cst et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Ce droit permet au citoyen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150 I 1 consid. 4.1 p. 2 et les renvois aux ATF 148 II 233 consid. 5.5.1 p. 241; 146 I 105 consid. 5.1.1 p. 110; 141 I 161 consid. 3.1 p. 164). Or, in casu, les recourants n'ont pas réglé leur conduite d'après un comportement déterminé de l'administration. Au contraire, comme l'a déjà dit plus haut, ils ont refusé la solution transactionnelle proposée par un collaborateur de l'autorité intimée de retenir un quotient familial de 2.3 pour leur fils et ont décidé de maintenir leur réclamation. Les conditions leur permettant d'invoquer la protection constitutionnelle de leur bonne foi ne sont dès lors pas réunies.</w:t>
      </w:r>
    </w:p>
    <w:p>
      <w:r>
        <w:rPr>
          <w:b/>
        </w:rPr>
        <w:t>E. 6</w:t>
      </w:r>
    </w:p>
    <w:p>
      <w:r>
        <w:t>Il suit de ce qui précède que le recours ne peut qu’être rejeté et la décision attaquée, confirmée. Les recourants, qui succombent, supporteront les frais de justice, solidairement entre eux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