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FI.2024.0176 vom 16. Dezember 2025</w:t>
      </w:r>
    </w:p>
    <w:p>
      <w:r>
        <w:t>VD Tribunal cantonal, 2025-12-16, FR</w:t>
      </w:r>
    </w:p>
    <w:p>
      <w:r>
        <w:rPr>
          <w:b/>
        </w:rPr>
        <w:t xml:space="preserve">Quelle: </w:t>
      </w:r>
      <w:r>
        <w:t>https://mcp.opencaselaw.ch/entscheid/vd_omni_FI.2024.0176</w:t>
      </w:r>
    </w:p>
    <w:p>
      <w:r>
        <w:t>FR: VD_OMNI FI.2024.0176 du 16 décembre 2025</w:t>
      </w:r>
    </w:p>
    <w:p>
      <w:r>
        <w:t>IT: VD_OMNI FI.2024.0176 del 16 dicembre 2025</w:t>
      </w:r>
    </w:p>
    <w:p>
      <w:pPr>
        <w:pStyle w:val="Heading2"/>
      </w:pPr>
      <w:r>
        <w:t>Regeste</w:t>
      </w:r>
    </w:p>
    <w:p>
      <w:r>
        <w:t>A.________/Administration cantonale des impôts, Administration fédérale des contributions | Rejet d'une demande de remise d'impôt confirmée: la remise sollicitée, qui s'élève à un peu plus de 5'000 fr., ne permettrait pas d'assainir durablement la situation économique du recourant au vu de l'ensemble de ses dettes, qui s'élèvent à environ 100'000 francs.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rejet d'une demande de remise d'impôt.</w:t>
      </w:r>
    </w:p>
    <w:p>
      <w:r>
        <w:rPr>
          <w:b/>
        </w:rPr>
        <w:t>E. 3</w:t>
      </w:r>
    </w:p>
    <w:p>
      <w:r>
        <w:t>a)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b)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FI.2024.0173 du 17 juin 2025 consid. 3b; FI.2022.0119 du 30 mars 2023 consid. 3a; FI.2020.0031 du 2 juillet 2021 consid. 4b et les références). Le Tribunal fédéral a jugé que cette pratique n'était pas arbitraire (cf. ATF 143 II 449 consid. 4.4.1 et 4.5). c) De manière générale, afin de garantir l'égalité de traitement au sens de l'art. 8 Cst., la remise doit rester exceptionnelle. En conséquence, elle n'est accordée qu'en présence de circonstances spéciales (cf. arrêts précités FI.2022.0119 consid. 3c; FI.2020.0063 consid. 2c et les références). Les art. 167 LIFD et 231 LI laissent en outre un important pouvoir d'appréciation à l'autorité compétente (cf. arrêts précités FI.2024.0173 consid. 3c; FI.2022.0119 consid. 3c; FI.2020.0031 consid. 4b et les références).</w:t>
      </w:r>
    </w:p>
    <w:p>
      <w:r>
        <w:rPr>
          <w:b/>
        </w:rPr>
        <w:t>E. 4</w:t>
      </w:r>
    </w:p>
    <w:p>
      <w:r>
        <w:t>En l'espèce, le recourant indiquait dans le dernier questionnaire sur sa situation financière qu'il a remis le 3 juillet 2024 à l'autorité intimée qu'il exerçait la profession de paysagiste à titre indépendant et qu'il réalisait à ce titre un revenu mensuel net de 20 francs. Les différentes raisons individuelles dont il était titulaire ont toutefois depuis lors été radiées du registre du commerce par suite de cessation d'activités, respectivement de clôture de faillite pour l'entreprise valaisanne. Dans ses écritures, le recourant n'a donné aucune précision sur sa situation financière actuelle. On ignore en particulier s'il a repris une autre activité lucrative. Faute d'indication à ce sujet, il n'est pas possible de déterminer si sa capacité financière actuelle lui permettrait de s'acquitter du solde d'impôt encore dû pour les périodes fiscales 2019 et 2020 "dans un avenir plus au moins rapproché" au sens de l'art. 2 de l'ordonnance sur les demandes en remise d'impôt, dont la teneur a été rappelée ci-dessus. Quoi qu'il en soit, comme l'office d'impôt et l'ACI l'ont indiqué dans leurs décisions respectives, la remise d'impôt sollicitée, qui s'élève à 5'559 fr. 40 après déduction de la part communale, ne permettrait pas d'assainir durablement la situation économique du recourant au vu de l'ensemble de ses dettes et n'atteindrait ainsi pas son but. Malgré la vente aux enchères publiques de sa part de copropriété de ******** et l'abandon de plusieurs créances, son endettement reste en effet important. Dans le questionnaire sur sa situation financière du 3 juillet 2024, le recourant le chiffrait encore à environ 100'000 francs. Au 11 février 2025, ses seules dettes fiscales s'élevaient par ailleurs selon les indications de l'autorité intimée à un montant total de 46'773 fr. 95 (intérêts de retard non compris). Le recourant n'ayant pas établi – ni même allégué du reste – que d'autres créanciers privés que ses parents avaient consenti à des abandons de créance, l'octroi de l'allégement fiscal reviendrait en outre à privilégier ces autres créanciers,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FI.2024.0173 du 17 juin 2025 consid. 4; FI.2022.0119 du 30 mars 2023 consid. 4c; FI.2021.0087 du 21 janvier 2022 consid. 4 et les références). Au regard de ces éléments, l'autorité intimée n'a pas violé le droit ni abusé du large pouvoir d'appréciation dont elle dispose en la matière, en confirmant le rejet de la demande de remise du recourant portant sur les impôts dus pour la période fiscale 2019 et 2020.</w:t>
      </w:r>
    </w:p>
    <w:p>
      <w:r>
        <w:rPr>
          <w:b/>
        </w:rPr>
        <w:t>E. 5</w:t>
      </w:r>
    </w:p>
    <w:p>
      <w:r>
        <w:t>Les considérants qui précèdent conduisent au rejet du recours et à la confirmation de la décision attaquée. Le recourant, qui succombe, devrait en principe supporter les frais de justice (cf. art. 49 al. 1 LPA-VD). Il y est toutefois renoncé vu sa situation financière (cf.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