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FI.2024.0120 vom 19. Dezember 2024</w:t>
      </w:r>
    </w:p>
    <w:p>
      <w:r>
        <w:t>VD Tribunal cantonal, 2024-12-19, FR</w:t>
      </w:r>
    </w:p>
    <w:p>
      <w:r>
        <w:rPr>
          <w:b/>
        </w:rPr>
        <w:t xml:space="preserve">Quelle: </w:t>
      </w:r>
      <w:r>
        <w:t>https://mcp.opencaselaw.ch/entscheid/vd_omni_FI.2024.0120</w:t>
      </w:r>
    </w:p>
    <w:p>
      <w:r>
        <w:t>FR: VD_OMNI FI.2024.0120 du 19 décembre 2024</w:t>
      </w:r>
    </w:p>
    <w:p>
      <w:r>
        <w:t>IT: VD_OMNI FI.2024.0120 del 19 dicembre 2024</w:t>
      </w:r>
    </w:p>
    <w:p>
      <w:pPr>
        <w:pStyle w:val="Heading2"/>
      </w:pPr>
      <w:r>
        <w:t>Regeste</w:t>
      </w:r>
    </w:p>
    <w:p>
      <w:r>
        <w:t>A.________/Administration cantonale des impôts, Administration fédérale des contributions | Recours contre une décision sur réclamation rejetant des demandes de remise d'impôt pour l'année 2021 et 2022. Même si la recourante a demandé la remise d'impôt avant l'entrée en force des décisions de taxation, ces dernières sont entrées en force car la recourante requiert uniquement une remise d'impôt et n'élève aucun reproche à l'encontre des taxations. Les revenus de la recourante sont suffisants pour que les conditions d'une remise, exceptionnelle, ne soient pas remplies. Pas de violation du principe de la bonne foi. Même si la recourante paraît avoir bénéficié durant plusieurs années d'une remise d'impôt, rien n'indique que l'autorité fiscale ait donné des assurances expresses à la recourante. Elle ne dispose pas non plus du droit à la poursuite d'un traitement erroné. Rejet du recours.</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S'agissant du recours interjeté contre la taxation relative à l'impôt cantonal et communal, l'art. 95 LPA-VD dispose que le recours au Tribunal cantonal s'exerce dans les 30 jours dès la notification de la décision attaquée. Sauf dispositions légales contraires, les délais fixés en jours par la loi ou par l'autorité ne courent pas (art. 96 al. 1 LPA-VD) notamment du 15 juillet au 15 août inclusivement (let. b). b) En matière d'impôt fédéral direct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arrêts CDAP FI.2020.0099 du 16 février 2021 ; FI.2018.0016 du 26 novembre 2018 consid. 1b ). Le Tribunal fédéral n'a pas tranché la question de savoir si cette jurisprudence doit être transposée à la procédure de remise d'impôt, l'art. 167g al. 1 LIFD ne renvoyant pas directement à l'art. 140 LIFD, mais réservant son application analogique. c) En l'espèce, la décision sur réclamation, datée du 25 juin 2024, a été notifiée à la recourante le 27 juin 2024. Interjeté le 22 août 2024 dans la forme prescrite (art. 79 LPA-VD) et le délai de trente jours, suspendu du 15 juillet au 15 août (art. 95 LPA-VD, en relation avec l'art. 96 LPA-VD), le recours est recevable en tant qu'il concerne l'ICC. La question de sa recevabilité en tant qu'il est dirigé contre la décision relative à l'IFD peut en revanche demeurer indécise, compte tenu de l'issue du recours.</w:t>
      </w:r>
    </w:p>
    <w:p>
      <w:r>
        <w:rPr>
          <w:b/>
        </w:rPr>
        <w:t>E. 2</w:t>
      </w:r>
    </w:p>
    <w:p>
      <w:r>
        <w:t>Dans un premier moyen d'ordre formel, la recourante reproche à l'autorité intimée d'avoir violé son droit d'être entendu en ayant rendu une décision sans l'avoir entendue au préalable. Elle paraît également faire grief à l'autorité intimée d'avoir fondé sa décision sur un élément au sujet duquel elle n'aurait pas pu s'expliquer, à savoir des retraits en espèces qui ressortent de ses relevés bancaires.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144 I 11 consid. 5.3 p. 17; 143 V 71 consid. 3.4.1 p. 72; 136 I 265 consid. 3.2 p. 272). En outre, il convient de rappeler que, sous l'angle de l'art. 29 al. 2 Cst. il n'existe pas, de façon générale, un droit d'être entendu oralement (cf. ATF 134 I 140 consid. 5.3; ATF 130 II 425 consid. 2.1; arrêt TF 2C_834/2012 du 19 avril 2013 consid. 4.1). En l'espèce, il ressort du dossier de la cause que la recourante a été invitée tant par l'OID que par l'autorité intimée à se déterminer par écrit et à fournir des pièces utiles à sa cause. Par ailleurs, l'autorité intimée a notifié à la recourante une proposition de règlement détaillée sur sa situation. La recourante ne disposait en revanche pas du droit d'être entendue oralement par cette autorité avant le prononcé de la décision sur réclamation, ce d'autant plus qu'elle n'allègue ni ne prouve avoir requis un entretien oral. S'agissant de la référence aux retraits en espèces relevés par l'autorité sur son compte bancaire, elle apparaissait déjà dans les décisions rendues par l'OID le 2 octobre 2023. La recourante pouvait donc fournir toutes explications utiles à l'autorité intimée sur ce point dans sa réclamation. Son droit d'être entendu n'a donc manifestement pas été violé. Mal fondé, le grief de la recourante doit être écarté.</w:t>
      </w:r>
    </w:p>
    <w:p>
      <w:r>
        <w:rPr>
          <w:b/>
        </w:rPr>
        <w:t>E. 3</w:t>
      </w:r>
    </w:p>
    <w:p>
      <w:r>
        <w:t>a)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Pour les personnes physiques, il y a disproportion lorsque la dette fiscale ne peut pas être payée intégralement dans un avenir plus ou moins rapproché, bien que le train de vie du contribuable ait été ramené au minimum vital (cf. ATAF 2009/45 consid. 2.6,4; arrêts du TAF A-2953/2012 précité consid. 2.5.1; A-430/2012 consid. 2.6.2 et A-741/2011 précité consid. 2.7). La jurisprudence rappelle à cet égard que la sauvegarde du minimum vital est déjà satisfaite par le droit des poursuites, qui limite le revenu saisissable, y compris pour les créances fiscales, au montant qui dépasse le niveau de subsistance (cf. art. 93 LP; voir ATF 122 I 101 consid 3b p. 105; arrêt TF 2C_247/2019 du 13 mars 2019 consid. 2.3.5). On rappelle à cet égard que les dettes fiscales ne sont pas incluses dans le calcul du minimum vital du débiteur (ATF 134 III 37 consid. 4.3 p. 41; 95 III 39 consid. 3 p. 42; cf. cependant la motion 24.3000 acceptée par les chambres fédérales le 27 mai 2024 en vue d'une modification de cette situation juridique).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2 al. 3 de l'ordonnance, en relation avec l'art. 93 LP). Les dépenses alléguées par le requérant ne sont pas décisives (cf. arrêts du TAF A-430/2012 précité consid. 2.8; A-3232/2011 précité consid. 2.8 et A-741/2011 précité consid. 2.7). La deuxième condition subjective prescrite par l'art. 167 al. 1 LIFD exige que le paiement de l'impôt entraîne des conséquences très rigoureuses pour le contribuable. Cette seconde condition ne peut pas être définie indépendamment de la première, à savoir la situation de dénuement, puisque les deux se recoupent dans une large mesure. Ainsi, l'art. 2 al. 1 de l'ordonnance cite, sous le titre du dénuement, des éléments qui peuvent également être caractéristiques des conséquences très rigoureuses, à savoir notamment la disproportion entre le montant dû et la capacité financière du contribuable (cf. arrêts du TAF A-741/2011 précité consid. 2.8; A-6866/2008 précité consid. 2.8 et A-6589/2008 du 29 novembre 2010 consid. 3.8; Pierre Curchod, in : Commentaire romand de la LIFD, 2 e éd., Noël/Aubry Girardin [édit.], 2017, N 16 ad art. 167; Michael Beusch/Susanne Raas , in : Kommentar zum Schweizerischen Steuerrecht, Bundesgesetz über die direkte Bundessteuer [DBG], Zweifel/Beusch [édit.], 4ème éd., 2022, N 14 ad art. 167). Tandis que le critère de l'existence d'une situation de dénuement prend en considération exclusivement la situation économique du débiteur, sous l'angle des conséquences très rigoureuses que pourrait entraîner le paiement de l'impôt, d'autres éléments peuvent également s'avérer déterminants, en particulier l'équité (cf. ATAF 2009/45 consid. 2.7.1; arrêts du TAF A-2953/2012 consid. 2.6; A-430/2012 du 10 décembre 2012 consid. 2.7.1; Markus Zweifel/Hugo Casanova/Michael Beusch/Silvia Hunziker, Schweizerisches Steuerverfahrensrecht Direkte Steuern, 3 e éd., 2024, § 31 N 18). Des conséquences très rigoureuses peuvent par exemple résulter de l'aggravation continuelle, depuis la taxation, des circonstances financières ou peuvent ressortir de causes ayant trait à la situation de dénuement (cf. art. 3 al. 1 let. a de l'ordonnance). De telles conséquences existent si des événements particuliers comme des charges inhabituelles relatives à l'entretien de la famille, un chômage ou une maladie prolongée, ou encore des accidents, réduisent considérablement la capacité économique du contribuable, de sorte que le paiement de la totalité de l'impôt dû représenterait un sacrifice disproportionné ne pouvant être équitablement exigé de ce dernier (cf. ATAF 2009/45 consid. 2.7.1; arrêts du TAF A-2953/2012 précité consid. 2.6.1). En présence d'un motif de refus, la demande de remise doit en principe être rejetée (Beusch/Raas, op. cit., N 9 ad art. 167a). La formulation potestative de l'art. 167a première phrase LIFD, selon laquelle la remise de l'impôt peut être en partie ou en totalité refusée, indique que l'autorité compétente dispose d'un pouvoir d'appréciation lorsqu'elle examine si les conditions de la remise sont réunies (Beusch/Raas, op. cit., n. 13 ad Remarques préliminaires aux art. 167-167g). b)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CDAP FI.2022.0119 du 30 mars 2023 consid. 3a; FI.2020.0031 du 2 juillet 2021 consid. 4b; FI.2020.0063 du 22 janvier 2021 consid. 2a et les références). Le Tribunal fédéral a jugé que cette pratique n'était pas arbitraire (cf. ATF 143 II 449 consid. 4.4.1 et 4.5). c) De manière générale, afin de garantir l'égalité de traitement au sens de l'art. 8 Cst., la remise doit rester exceptionnelle. En conséquence, elle n'est accordée qu'en présence de circonstances spéciales (cf. arrêts précités FI.2022.0119 consid. 3c; FI.2020.0063 consid. 2c et les références). Les art. 167 LIFD et 231 LI laissent en outre un important pouvoir d'appréciation à l'autorité compétente (cf. arrêts précités FI.2022.0119 consid. 3c; FI.2020.0031 consid. 4b; FI.2020.0063 consid. 2c et les références).</w:t>
      </w:r>
    </w:p>
    <w:p>
      <w:r>
        <w:rPr>
          <w:b/>
        </w:rPr>
        <w:t>E. 4</w:t>
      </w:r>
    </w:p>
    <w:p>
      <w:r>
        <w:t>a) A titre liminaire, se pose la question de savoir si les décisions de taxation pour les périodes fiscales 2021 et 2022 sont entrées en force. En effet, lorsque l'autorité de taxation a procédé à la notification de ces décisions, les 19 avril 2022 et 2023, la recourante s'est adressée dans le délai de 30 jours dès leur notification à l'OID pour solliciter une remise d'impôts, soit avant que ces décisions ne soient entrées en force. Ainsi, elle a écrit les 4 mai 2022 et 28 avril 2023, de telle sorte qu'il n'était pas d'emblée exclu qu'il s'agisse de réclamations. Toutefois, dans les deux écrits, la recourante non seulement requiert clairement une remise d'impôt, mais surtout n'élève aucun reproche à l'encontre des taxations. Elle sollicite le maintien (cf. au surplus infra consid. 5) du système apparemment mis en place lors des périodes fiscales précédentes lui permettant de ne s'acquitter que partiellement des créances fiscales. Il était donc justifié de considérer ces actes écrits non pas comme des réclamations contre les décisions de taxation mais comme des demandes de remise. Il s'ensuit que les décisions de taxation sont entrées en force. b) S'agissant de la remise d'impôt et de la décision entreprise, l'autorité intimée a retenu que la recourante avait procédé à des retraits en espèces sur son compte bancaire entre le 1 er janvier 2021 et le 31 octobre 2022 alors même que ces prélèvements lui auraient permis d'assumer l'entièreté de sa charge fiscale. Elle retient également que la recourante a bénéficié d'un allégement fiscal durant plusieurs périodes fiscales alors même que la remise d'impôt devrait rester exceptionnelle. La recourante conteste cette appréciation. Elle affirme que les retraits en espèces ont été effectuées pour payer comptant certaines de ses dépenses courantes. Implicitement, elle fait valoir que le budget qu'elle a transmis à l'ACI atteste de son dénuement et justifierait une remise d'impôt. c) En l'espèce, la recourante réalise un revenu annuel de l'ordre de 43'440 fr. ([2'450 + 1'170] x 12). Son minimum vital du droit des poursuites s'élève à 2'984 fr. 20 par mois (1'350 + 414.20 + 20 + 1'200), soit 35'810 fr. 40 par année. Après déduction des charges incompressibles de la recourante, il y a donc lieu de constater qu'il lui reste un disponible de l'ordre de 7'000 fr. par année. Ce disponible est suffisant pour que la recourante paye ses dettes fiscales qui s'élèvent à 3'266 fr. 05 pour l'année 2021 et à 3'122 fr. 70 pour l'année 2022, ce d'autant plus si l'ACI est disposée à lui proposer un arrangement de paiement. En effet, sur le plan objectif, il n'apparaît pas que l'autorité intimée ait mal apprécié la situation en considérant que des restrictions de train de vie pouvaient être exigées en l'espèce, dès lors que conformément à la jurisprudence citée ci-avant, les dépenses en l'espèce dépassent les frais d'entretien déterminés selon les directives pour le calcul du minimum vital au sens du droit des poursuites. Même à prendre en considération les impôts en sus du minimum vital, ce qu'il n'y a pas lieu de faire en application du droit actuel, il reste à la recourante un solde lui permettant, moyennant éventuellement un plan de paiement, de s'acquitter des montants encore dus. Au regard des revenus et des charges de la recourante, on ne saurait dire que sur le court ou moyen terme, il lui serait impossible de rembourser les dettes fiscales sans porter atteinte à son minimum vital. Sur le plan subjectif, on ne voit pas en l'espèce que les dettes d'impôts soient en disproportion avec la capacité financière de la recourante et qu'ainsi le paiement de l'impôt puisse entraîner des conséquences très rigoureuses au sens de la jurisprudence. Si la Cour comprend aisément que le paiement de ses impôts par la recourante constitue pour elle un effort financier important compte tenu aussi de son âge et de ce qu'elle vit uniquement avec les revenus précités, il n'en reste pas moins que ces derniers restent suffisants pour que les conditions d'une remise, exceptionnelle, ne soient pas remplies. Dans une telle hypothèse, l'autorité intimée ne pouvait pas octroyer de remise. Par surabondance, on ajoutera que les revenus et les charges incompressibles de la recourante sont stables, à tout le moins que la recourante n'invoque pas en procédure avoir subi une baisse imprévisible de ses revenus ou devoir faire face à des dépenses supplémentaires imprévues (sous réserve de l'augmentation des prix qui concernent toute la population) qui l'empêcheraient soudainement d'honorer ses obligations envers le fisc. En conséquence, l'octroi d'une remise d'impôt dans le cas d'espèce violerait manifestement le principe de l'égalité de traitement rappelé ci-dessus. Au regard de ces éléments, l'autorité intimée n'a pas violé le droit ni abusé du large pouvoir d'appréciation dont elle dispose en la matière, en confirmant le rejet de la demande de remise de la recourante portant sur le solde d'impôt encore dû pour les périodes fiscale 2021 et 2022.</w:t>
      </w:r>
    </w:p>
    <w:p>
      <w:r>
        <w:rPr>
          <w:b/>
        </w:rPr>
        <w:t>E. 5</w:t>
      </w:r>
    </w:p>
    <w:p>
      <w:r>
        <w:t>La recourante invoque la violation du principe de la bonne foi. Elle allègue que la possibilité de bénéficier d'une remise d'impôt a été proposée par l'autorité fiscale durant une longue période, soit entre 2008 et 2020 et que celle-ci lui aurait laissé croire qu'elle pourrait continuer à en bénéficier par la suite.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(StE 2013 A 21.14 23, 2C_603/2012 consid. 4 et l'arrêt cité).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(ATF 147 II 155 consid. 10.5.1; arrêt TF 2C_888/2014 du 7 juin 2015 consid. 7.2). Ainsi par exemple, il n'y a pas de violation du principe de la bonne foi lorsque l'administration fiscale procède à un examen de la justification commerciale de la provision, alors qu'un tel examen n'a pas eu lieu l'année précédente (ATF 147 II 155 consid. 10.5.1; arrêts TF 2C_426/2019 du 12 juillet 2019 consid. 3.3.5, in Archives 88 p. 40; 2C_1168/2016 du 1er mai 2017 consid. 3.1, in RF 72/2017 p. 920; 2C_392/2009 du 23 août 2010 consid. 3.2, in RDAF 2011 II p. 70). Ce n'est que si le fisc promet expressément un certain traitement fiscal que peut se poser la question de la bonne foi (cf. arrêts TF 2C_1082/2014 du 29 septembre 2016 consid. 2.3.1; 2C_383/2011 du 31 octobre 2011 consid. 3.3; 2C_596/2007 du 24 juin 2008 consid. 5). b) En l'espèce, il résulte des explications de la recourante (notamment la lettre de la recourante du 31 octobre 2023) que cette dernière a probablement bénéficié de remises d'impôt durant une dizaine d'années selon un système semble-t-il mis en place en accord avec l'autorité de remise d'impôt, compétente à l'époque, et consistant dans le versement de 100 fr. par mois (soit 1'200 fr. annuels) pour solde de tout compte de ses créances fiscales. Ainsi, quel que soit le montant d'impôt dû, la recourante présentait une demande de remise lui permettant de ne s'acquitter que du montant précité chaque année. Sur cette base, elle estime avoir droit à la perpétuation du système. Or, nonobstant la longue période durant laquelle la recourante prétend avoir bénéficié d'une remise d'impôt, rien au dossier n'indique que l'autorité fiscale ait donné des assurances expresses à la recourante selon lesquelles elle pourrait continuer à bénéficier de remises d'impôt pour une durée indéterminée dans le temps. Au contraire, celle-ci faisait une demande de remise chaque année, laquelle faisait ensuite l'objet d'une décision portant uniquement sur le solde d'impôt dû pour la période fiscale antérieure. A aucun moment, l'autorité compétente n'a donc donné de garantie quant au maintien du système. Singulièrement, il n'est donc pas démontré que l'autorité fiscale a donné des assurances particulières à la recourante s'agissant des années 2021 et 2022. La recourante ne peut pas non plus se prévaloir d'une promesse de l'autorité qui découlerait de l'accueil favorable qui aurait été réservé à ses demandes de remise d'impôt pour les périodes fiscales 2008 à 2020. En effet, compte tenu du principe de l'étanchéité des périodes fiscales rappelé ci-dessus, les décisions de remises ont été rendues par chaque période particulière. En outre, le fait d'avoir bénéficié, même pendant plusieurs années, de manière erronée d'une remise d'impôt ne confère pas à la recourante un droit à la poursuite du traitement erroné. La recourante ne saurait dès lors invoquer la protection de sa bonne foi. Mal fondé, son grief doit être écarté.</w:t>
      </w:r>
    </w:p>
    <w:p>
      <w:r>
        <w:rPr>
          <w:b/>
        </w:rPr>
        <w:t>E. 6</w:t>
      </w:r>
    </w:p>
    <w:p>
      <w:r>
        <w:t>Les considérants qui précèdent conduisent au rejet du recours et à la confirmation de la décision attaquée. La recourante, qui succombe, devrait supporter les frais de justice (cf. art. 49 al. 1 LPA-VD). Il se justifie cependant de statuer sans frais (art. 50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