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FI.2024.0109 vom 9. Oktober 2025</w:t>
      </w:r>
    </w:p>
    <w:p>
      <w:r>
        <w:t>VD Tribunal cantonal, 2025-10-09, FR</w:t>
      </w:r>
    </w:p>
    <w:p>
      <w:r>
        <w:rPr>
          <w:b/>
        </w:rPr>
        <w:t xml:space="preserve">Quelle: </w:t>
      </w:r>
      <w:r>
        <w:t>https://mcp.opencaselaw.ch/entscheid/vd_omni_FI.2024.0109</w:t>
      </w:r>
    </w:p>
    <w:p>
      <w:r>
        <w:t>FR: VD_OMNI FI.2024.0109 du 9 octobre 2025</w:t>
      </w:r>
    </w:p>
    <w:p>
      <w:r>
        <w:t>IT: VD_OMNI FI.2024.0109 del 9 ottobre 2025</w:t>
      </w:r>
    </w:p>
    <w:p>
      <w:pPr>
        <w:pStyle w:val="Heading2"/>
      </w:pPr>
      <w:r>
        <w:t>Regeste</w:t>
      </w:r>
    </w:p>
    <w:p>
      <w:r>
        <w:t>A.________/Administration cantonale des impôts, Administration fédérale des contributions | Les autorités fiscales n'ont pas abusé de leur liberté d'appréciation en refusant la remise d'impôts requise. Sans doute, la recourante, qui perçoit le RI, met en avant sa mauvaise santé qui dorénavant l'empêcherait durablement de travailler. On relève cependant que durant les périodes concernées, elle disposait de ressources suffisantes pour s'acquitter au moins partiellement de l'impôt dû et n'a effectué aucun versement, ni constitué de réserves. En outre, elle a consacré une partie de sa fortune pour désintéresser ses créanciers privés. Rejet du recours et confirmation de la décision attaquée.</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sont applicables par analogie (al. 4). b) Sur le plan cantonal, la remise de l’impôt fait partie du Titre IX (Perception de l’impôt et garanties) de la loi cantonale du</w:t>
      </w:r>
    </w:p>
    <w:p>
      <w:r>
        <w:rPr>
          <w:b/>
        </w:rPr>
        <w:t>E. 4</w:t>
      </w:r>
    </w:p>
    <w:p>
      <w:r>
        <w:t>Les considérants qui précèdent conduisent le tribunal à rejeter le recours et à confirmer la décision attaquée. Bien que la recourante succombe, le présent arrêt sera rendu sans frais (cf. art. 49 al. 1, 50,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