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FI.2024.0069 vom 30. Januar 2025</w:t>
      </w:r>
    </w:p>
    <w:p>
      <w:r>
        <w:t>VD Tribunal cantonal, 2025-01-30, FR</w:t>
      </w:r>
    </w:p>
    <w:p>
      <w:r>
        <w:rPr>
          <w:b/>
        </w:rPr>
        <w:t xml:space="preserve">Quelle: </w:t>
      </w:r>
      <w:r>
        <w:t>https://mcp.opencaselaw.ch/entscheid/vd_omni_FI.2024.0069</w:t>
      </w:r>
    </w:p>
    <w:p>
      <w:r>
        <w:t>FR: VD_OMNI FI.2024.0069 du 30 janvier 2025</w:t>
      </w:r>
    </w:p>
    <w:p>
      <w:r>
        <w:t>IT: VD_OMNI FI.2024.0069 del 30 gennaio 2025</w:t>
      </w:r>
    </w:p>
    <w:p>
      <w:pPr>
        <w:pStyle w:val="Heading2"/>
      </w:pPr>
      <w:r>
        <w:t>Regeste</w:t>
      </w:r>
    </w:p>
    <w:p>
      <w:r>
        <w:t>A.________/Administration cantonale des impôts, Administration fédérale des contributions, Service cantonal des contributions du canton du Valais, Commune de ********, Commune de ******** | Détermination du domicile fiscal. Rappel des règles sur le fardeau de la preuve en la matière. En l'occurrence, l'ACI a échoué à apporter la preuve des faits déterminants lui permettant de fixer le domicile fiscal principal du recourant dans le canton de Vaud durant deux périodes fiscales. Recours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les art. 140 al. 1 de la loi fédérale du 14 décembre 1990 sur l'impôt fédéral direct (LIFD; RS 642.11) et 95 de la loi vaudoise du 28 octobre 2008 sur la procédure administrative (LPA-VD; BLV 173.36), applicable par renvoi de l'art. 199 de la loi vaudoise du</w:t>
      </w:r>
    </w:p>
    <w:p>
      <w:r>
        <w:rPr>
          <w:b/>
        </w:rPr>
        <w:t>E. 4</w:t>
      </w:r>
    </w:p>
    <w:p>
      <w:r>
        <w:t>Les considérants qui précèdent conduisent à l'admission du recours et à l'annulation de la décision entreprise. Les frais de justice sont laissés à la charge de l'Etat (cf. art. 52 al. 1 LPA-VD). Le recourant, qui a procédé sans le concours d'un mandataire professionnel, n'a pas droit à l'allocation de dépens (cf. art. 55 al. 1 a contrario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