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FI.2024.0064 vom 5. Juni 2024</w:t>
      </w:r>
    </w:p>
    <w:p>
      <w:r>
        <w:t>VD Tribunal cantonal, 2024-06-05, FR</w:t>
      </w:r>
    </w:p>
    <w:p>
      <w:r>
        <w:rPr>
          <w:b/>
        </w:rPr>
        <w:t xml:space="preserve">Quelle: </w:t>
      </w:r>
      <w:r>
        <w:t>https://mcp.opencaselaw.ch/entscheid/vd_omni_FI.2024.0064</w:t>
      </w:r>
    </w:p>
    <w:p>
      <w:r>
        <w:t>FR: VD_OMNI FI.2024.0064 du 5 juin 2024</w:t>
      </w:r>
    </w:p>
    <w:p>
      <w:r>
        <w:t>IT: VD_OMNI FI.2024.0064 del 5 giugno 2024</w:t>
      </w:r>
    </w:p>
    <w:p>
      <w:pPr>
        <w:pStyle w:val="Heading2"/>
      </w:pPr>
      <w:r>
        <w:t>Regeste</w:t>
      </w:r>
    </w:p>
    <w:p>
      <w:r>
        <w:t>A.________/Administration cantonale des impôts, Administration fédérale des contributions | Avance de frais effectuée tardivement. Le recourant n'est pas fondé à se plaindre de ce que le délai imparti était trop court; dès l’instant où il était absent de son domicile au moment où le pli recommandé contenant l’ordonnance du juge instructeur lui a été notifié. Rappel que celui qui se sait partie à une procédure judiciaire et qui doit dès lors s'attendre à recevoir des actes du tribunal, est tenu de relever son courrier ou, s'il s'absente de son domicile, de prendre des dispositions pour que celui-ci lui parvienne néanmoins. In casu, le recourant était encore en mesure d'effectuer l'avance de frais dans le délai imparti. Au surplus, supposé le délai trop court, le recourant pouvait requérir qu’il soit prolongé, ce dont il s’est abstenu. Aucun motif ne commande par conséquent de restituer ce délai. Recours irrecevable.</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 simple fait de donner un ordre de paiement à sa banque ou la poste ne constitue pas encore la preuve que le compte est effectivement débité à cette date (v. arrêts GE.2023.0058 du 2 mai 2023; PE.2029.0442 du 4 avril 2020; CR.2015.0013 du 18 mars 2015; GE.2009.0221 du 27 janvier 2010). Les délais impartis par l'autorité peuvent être prolongés pour des motifs suffisants, si la partie en fait la demande avant l'expiration (art. 21 al. 2 LPA-VD). b) En l’occurrence, le recourant a été requis, par ordonnance du 3 mai 2024, rappelée par avis du 16 mai 2024, d’effectuer une avance de frais de 500 fr., montant fixé en conformité avec l’art. 4 al. 1 du tarif du 28 avril 2015 des frais judiciaires et des dépens en matière administrative (TFJDA; BLV 173.36.5.1), dans un délai échéant le 23 mai 2024. Son attention a expressément été attirée sur les conséquences de l'inobservation de ce délai. Or, aucune avance de frais requise n'a été effectuée dans le délai fixé par le juge instructeur. Le recourant indique sans doute avoir donné un ordre de virement le 19 mai 2024. Il ressort toutefois de la comptabilité du tribunal que le montant a été débité de son compte le 24 mai 2024 seulement, soit le lendemain de l’échéance du délai imparti. En outre, le juge n’a pas été saisi, dans ce délai, d’une demande de prolongation. A moins que les conditions de la restitution de ce délai ne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 même ou de charger une tierce personne d'agir en son nom dans le délai (cf. ATF 119 II 86 consid. 2 p. 87; arrêt TF 9C_209/2012 du 26 juin 2012 consid. 3.1). b) On retire des explications du recourant que le délai qui lui a été imparti était trop court, dès l’instant où il était absent de son domicile au moment où La Poste a tenté de lui notifier le pli recommandé contenant l’ordonnance du 3 mai 2024. Du reste, ce pli a été retourné au greffe du tribunal avec la mention «non réclamé» à l’échéance du délai de garde. Peu importe; celui qui se sait partie à une procédure judiciaire et qui doit dès lors s'attendre à recevoir des actes du tribunal,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146 IV 30 consid. 1.1.2 p. 34; 141 II 429 consid. 3.1 p. 431 s.). Ainsi, l'ordonnance précitée est censée avoir été notifiée au recourant à l'échéance du délai de garde de sept jours. Un rappel lui a en outre été adressé le 16 mai 2024, avec l’indication que cette communication ne faisait pas courir de nouveaux délais. Dès lors, le recourant était bien en mesure d'effectuer l'avance de frais dans le délai fixé au 23 mai 2024 par ladite ordonnance. Au surplus, supposé le délai trop court, il pouvait requérir qu’il soit prolongé, ce dont il s’est abstenu. Aucun motif ne commande par conséquent de restituer ce délai.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3</w:t>
      </w:r>
    </w:p>
    <w:p>
      <w:r>
        <w:t>Les frais de justice seront laissés à la charge de l'Etat (art. 49 al. 1, 50, 91 et 99  LPA VD) et l’avance effectuée par le recourant lui sera restituée.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