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FI.2024.0026 vom 4. November 2024</w:t>
      </w:r>
    </w:p>
    <w:p>
      <w:r>
        <w:t>VD Tribunal cantonal, 2024-11-04, FR</w:t>
      </w:r>
    </w:p>
    <w:p>
      <w:r>
        <w:rPr>
          <w:b/>
        </w:rPr>
        <w:t xml:space="preserve">Quelle: </w:t>
      </w:r>
      <w:r>
        <w:t>https://mcp.opencaselaw.ch/entscheid/vd_omni_FI.2024.0026</w:t>
      </w:r>
    </w:p>
    <w:p>
      <w:r>
        <w:t>FR: VD_OMNI FI.2024.0026 du 4 novembre 2024</w:t>
      </w:r>
    </w:p>
    <w:p>
      <w:r>
        <w:t>IT: VD_OMNI FI.2024.0026 del 4 novembre 2024</w:t>
      </w:r>
    </w:p>
    <w:p>
      <w:pPr>
        <w:pStyle w:val="Heading2"/>
      </w:pPr>
      <w:r>
        <w:t>Regeste</w:t>
      </w:r>
    </w:p>
    <w:p>
      <w:r>
        <w:t>A.________ /Administration cantonale des impôts, Administration fédérale des contributions | Rejet d'une demande de remise d'impôt confirmée: la recourante dispose d'un solde mensuel suffisant pour s'acquitter à relative brève échéance du solde d'impôt encore dû pour les périodes fiscales visées ; la remise sollicitée n'atteindrait quoi qu'il en soit pas son but au vu des autres dettes fiscales de l'intéressée; le fait que l'autorité intimée se soit rendu coupable d'un éventuel déni de justice s'agissant du traitement de réclamations portant sur des périodes antérieures n'est en outre pas déterminant.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et 3 sont dès lors irrecevables (cf. art. 79 al. 2 LPA-VD, applicable par renvoi de l'art. 99 LPA-VD). La cour de céans n'est par ailleurs pas compétente pour se prononcer sur des demandes en dommages-intérêts. Les actions en responsabilité contre l'Etat ressortissent en effet aux tribunaux civils ordinaires (art. 14 de la loi vaudoise du 16 mai 1961 sur la responsabilité de l'Etat, des communes et de leurs agents [LRECA; RSV 170.11]). La conclusion n o</w:t>
      </w:r>
    </w:p>
    <w:p>
      <w:r>
        <w:rPr>
          <w:b/>
        </w:rPr>
        <w:t>E. 5</w:t>
      </w:r>
    </w:p>
    <w:p>
      <w:r>
        <w:t>Les considérants qui précèdent conduisent au rejet du recours et à la confirmation de la décision attaquée. La recourante, qui succombe, supportera les frais de justice (cf. art. 49 al. 1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